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84" w:type="dxa"/>
        <w:tblLook w:val="04A0"/>
      </w:tblPr>
      <w:tblGrid>
        <w:gridCol w:w="7676"/>
        <w:gridCol w:w="8308"/>
      </w:tblGrid>
      <w:tr w:rsidR="006F0112" w:rsidTr="009B02AE">
        <w:tc>
          <w:tcPr>
            <w:tcW w:w="15984" w:type="dxa"/>
            <w:gridSpan w:val="2"/>
            <w:shd w:val="clear" w:color="auto" w:fill="C6D9F1" w:themeFill="text2" w:themeFillTint="33"/>
          </w:tcPr>
          <w:p w:rsidR="006F0112" w:rsidRDefault="006F0112" w:rsidP="00102D35">
            <w:r>
              <w:rPr>
                <w:noProof/>
                <w:lang w:eastAsia="en-AU"/>
              </w:rPr>
              <w:drawing>
                <wp:inline distT="0" distB="0" distL="0" distR="0">
                  <wp:extent cx="1085850" cy="333375"/>
                  <wp:effectExtent l="19050" t="0" r="0" b="0"/>
                  <wp:docPr id="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1C3">
              <w:t xml:space="preserve">                                                                    </w:t>
            </w:r>
            <w:r w:rsidR="009B02AE" w:rsidRPr="009B02AE">
              <w:rPr>
                <w:sz w:val="36"/>
              </w:rPr>
              <w:t>THE BIDGEE</w:t>
            </w:r>
            <w:r w:rsidRPr="009B02AE">
              <w:rPr>
                <w:sz w:val="36"/>
                <w:szCs w:val="36"/>
              </w:rPr>
              <w:t xml:space="preserve"> </w:t>
            </w:r>
            <w:r w:rsidRPr="008D71C3">
              <w:rPr>
                <w:sz w:val="36"/>
                <w:szCs w:val="36"/>
              </w:rPr>
              <w:t>SCHOOL PLAN 2012 -2014</w:t>
            </w:r>
            <w:r w:rsidR="0027395A">
              <w:rPr>
                <w:sz w:val="36"/>
                <w:szCs w:val="36"/>
              </w:rPr>
              <w:t xml:space="preserve"> (2013)</w:t>
            </w:r>
          </w:p>
        </w:tc>
      </w:tr>
      <w:tr w:rsidR="006F0112" w:rsidTr="009B02AE">
        <w:tc>
          <w:tcPr>
            <w:tcW w:w="15984" w:type="dxa"/>
            <w:gridSpan w:val="2"/>
            <w:shd w:val="clear" w:color="auto" w:fill="DBE5F1" w:themeFill="accent1" w:themeFillTint="33"/>
          </w:tcPr>
          <w:p w:rsidR="006F0112" w:rsidRDefault="006F0112" w:rsidP="00102D35">
            <w:r w:rsidRPr="008D71C3">
              <w:t>SCHOOL CONTEXT</w:t>
            </w:r>
          </w:p>
        </w:tc>
      </w:tr>
      <w:tr w:rsidR="006F0112" w:rsidTr="009B02AE">
        <w:tc>
          <w:tcPr>
            <w:tcW w:w="15984" w:type="dxa"/>
            <w:gridSpan w:val="2"/>
          </w:tcPr>
          <w:p w:rsidR="006F0112" w:rsidRDefault="006F0112" w:rsidP="00102D35"/>
          <w:p w:rsidR="006163BE" w:rsidRDefault="006163BE" w:rsidP="006163BE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proofErr w:type="spellStart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>Bidgee</w:t>
            </w:r>
            <w:proofErr w:type="spellEnd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 xml:space="preserve"> School was established in 2006 to assist students with emotional difficulties and challenging behaviours who have not been able to maintain their place in the mainstream setting. The school provides a range of individualised programmes for up to 21 students from years 5-10. Students attend The </w:t>
            </w:r>
            <w:proofErr w:type="spellStart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>Bidgee</w:t>
            </w:r>
            <w:proofErr w:type="spellEnd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 xml:space="preserve"> School for between 12 and 18 months. The </w:t>
            </w:r>
            <w:proofErr w:type="spellStart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>Bidgee</w:t>
            </w:r>
            <w:proofErr w:type="spellEnd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 xml:space="preserve"> School is committed to developing and delivering quality educational programs which are engaging and stimulating in a supportive learning environment AND which prepare students for successful re-integration back to their mainstream school or other program. There is a strong emphasis on the teaching of Literacy, Numeracy and Personal Development/Social Skills. The </w:t>
            </w:r>
            <w:proofErr w:type="spellStart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>Bidgee</w:t>
            </w:r>
            <w:proofErr w:type="spellEnd"/>
            <w:r w:rsidRPr="006163BE">
              <w:rPr>
                <w:rFonts w:asciiTheme="minorHAnsi" w:hAnsiTheme="minorHAnsi"/>
                <w:bCs/>
                <w:sz w:val="20"/>
                <w:szCs w:val="20"/>
              </w:rPr>
              <w:t xml:space="preserve"> School aims to provide students with the opportunity to understand their behaviour accept responsibility for their actions and learn new skills in a smaller, highly structured environment whilst still maintaining contact with their home school. </w:t>
            </w:r>
            <w:r w:rsidR="00AC55C1">
              <w:rPr>
                <w:rFonts w:asciiTheme="minorHAnsi" w:hAnsiTheme="minorHAnsi"/>
                <w:bCs/>
                <w:sz w:val="20"/>
                <w:szCs w:val="20"/>
              </w:rPr>
              <w:t xml:space="preserve"> The </w:t>
            </w:r>
            <w:proofErr w:type="spellStart"/>
            <w:r w:rsidR="00AC55C1">
              <w:rPr>
                <w:rFonts w:asciiTheme="minorHAnsi" w:hAnsiTheme="minorHAnsi"/>
                <w:bCs/>
                <w:sz w:val="20"/>
                <w:szCs w:val="20"/>
              </w:rPr>
              <w:t>Bidgee</w:t>
            </w:r>
            <w:proofErr w:type="spellEnd"/>
            <w:r w:rsidR="00AC55C1">
              <w:rPr>
                <w:rFonts w:asciiTheme="minorHAnsi" w:hAnsiTheme="minorHAnsi"/>
                <w:bCs/>
                <w:sz w:val="20"/>
                <w:szCs w:val="20"/>
              </w:rPr>
              <w:t xml:space="preserve"> School joins the Low SES School Communities National Partnership in 2012.</w:t>
            </w:r>
          </w:p>
          <w:p w:rsidR="006F0112" w:rsidRDefault="006F0112" w:rsidP="00102D35"/>
        </w:tc>
      </w:tr>
      <w:tr w:rsidR="006F0112" w:rsidTr="009B02AE">
        <w:tc>
          <w:tcPr>
            <w:tcW w:w="7676" w:type="dxa"/>
            <w:shd w:val="clear" w:color="auto" w:fill="DBE5F1" w:themeFill="accent1" w:themeFillTint="33"/>
          </w:tcPr>
          <w:p w:rsidR="006F0112" w:rsidRDefault="006F0112" w:rsidP="00102D35">
            <w:r w:rsidRPr="008D71C3">
              <w:t>SCHOOL IDENTIFIED PRIORITY AREA/S</w:t>
            </w:r>
          </w:p>
        </w:tc>
        <w:tc>
          <w:tcPr>
            <w:tcW w:w="8308" w:type="dxa"/>
            <w:shd w:val="clear" w:color="auto" w:fill="DBE5F1" w:themeFill="accent1" w:themeFillTint="33"/>
          </w:tcPr>
          <w:p w:rsidR="006F0112" w:rsidRDefault="006F0112" w:rsidP="00102D35">
            <w:r w:rsidRPr="008D71C3">
              <w:t>INTENDED OUTCOME/S</w:t>
            </w:r>
          </w:p>
        </w:tc>
      </w:tr>
      <w:tr w:rsidR="006F0112" w:rsidTr="009B02AE">
        <w:tc>
          <w:tcPr>
            <w:tcW w:w="7676" w:type="dxa"/>
          </w:tcPr>
          <w:p w:rsidR="006F0112" w:rsidRDefault="006F0112" w:rsidP="00102D35"/>
          <w:p w:rsidR="006163BE" w:rsidRDefault="00F458BC" w:rsidP="00102D35">
            <w:r>
              <w:t xml:space="preserve">Literacy </w:t>
            </w:r>
          </w:p>
          <w:p w:rsidR="006163BE" w:rsidRDefault="006163BE" w:rsidP="00102D35"/>
          <w:p w:rsidR="006F0112" w:rsidRDefault="00F458BC" w:rsidP="00102D35">
            <w:r>
              <w:t xml:space="preserve">Numeracy </w:t>
            </w:r>
          </w:p>
          <w:p w:rsidR="006F0112" w:rsidRDefault="006F0112" w:rsidP="00102D35"/>
          <w:p w:rsidR="006F4D7A" w:rsidRDefault="006F4D7A" w:rsidP="00102D35"/>
          <w:p w:rsidR="006F0112" w:rsidRDefault="00F458BC" w:rsidP="00102D35">
            <w:r>
              <w:t>Student Wellbeing</w:t>
            </w:r>
            <w:r w:rsidR="00036352">
              <w:t>/Engag</w:t>
            </w:r>
            <w:r w:rsidR="00491C37">
              <w:t>e</w:t>
            </w:r>
            <w:r w:rsidR="00036352">
              <w:t>ment</w:t>
            </w:r>
            <w:r>
              <w:t xml:space="preserve"> </w:t>
            </w:r>
          </w:p>
          <w:p w:rsidR="0036105E" w:rsidRDefault="0036105E" w:rsidP="00102D35"/>
          <w:p w:rsidR="006F0112" w:rsidRDefault="006F0112" w:rsidP="00102D35"/>
        </w:tc>
        <w:tc>
          <w:tcPr>
            <w:tcW w:w="8308" w:type="dxa"/>
          </w:tcPr>
          <w:p w:rsidR="006F0112" w:rsidRDefault="00921234" w:rsidP="00102D35">
            <w:r>
              <w:t xml:space="preserve">Improve Literacy skills of all students with a focus on grammar, </w:t>
            </w:r>
            <w:r w:rsidR="00710FD3" w:rsidRPr="00710FD3">
              <w:rPr>
                <w:b/>
              </w:rPr>
              <w:t>comprehension,</w:t>
            </w:r>
            <w:r w:rsidR="00710FD3">
              <w:t xml:space="preserve"> </w:t>
            </w:r>
            <w:r>
              <w:t>punctuation and spelling.</w:t>
            </w:r>
          </w:p>
          <w:p w:rsidR="00921234" w:rsidRDefault="00921234" w:rsidP="00102D35"/>
          <w:p w:rsidR="00921234" w:rsidRDefault="002A003C" w:rsidP="00102D35">
            <w:r>
              <w:t xml:space="preserve">Improve Numeracy </w:t>
            </w:r>
            <w:r w:rsidR="005600AF">
              <w:t>achievement for all students with a focus on place value and Space and Measurement.</w:t>
            </w:r>
          </w:p>
          <w:p w:rsidR="00491C37" w:rsidRDefault="00491C37" w:rsidP="00102D35"/>
          <w:p w:rsidR="00491C37" w:rsidRDefault="00855470" w:rsidP="00102D35">
            <w:r>
              <w:t>Reduce the total number of</w:t>
            </w:r>
            <w:r w:rsidR="00491C37">
              <w:t xml:space="preserve"> both short and long term suspensions </w:t>
            </w:r>
            <w:r w:rsidR="00904A52">
              <w:t xml:space="preserve">for all students, including Aboriginal Students, </w:t>
            </w:r>
            <w:r w:rsidR="00491C37">
              <w:t>through increased engagement in school programs.</w:t>
            </w:r>
          </w:p>
        </w:tc>
      </w:tr>
      <w:tr w:rsidR="006F0112" w:rsidTr="009B02AE">
        <w:tc>
          <w:tcPr>
            <w:tcW w:w="15984" w:type="dxa"/>
            <w:gridSpan w:val="2"/>
            <w:shd w:val="clear" w:color="auto" w:fill="DBE5F1" w:themeFill="accent1" w:themeFillTint="33"/>
          </w:tcPr>
          <w:p w:rsidR="006F0112" w:rsidRDefault="006F0112" w:rsidP="00102D35">
            <w:r w:rsidRPr="008D71C3">
              <w:t>TARGET/S</w:t>
            </w:r>
          </w:p>
        </w:tc>
      </w:tr>
      <w:tr w:rsidR="006F0112" w:rsidTr="009B02AE">
        <w:tc>
          <w:tcPr>
            <w:tcW w:w="15984" w:type="dxa"/>
            <w:gridSpan w:val="2"/>
          </w:tcPr>
          <w:p w:rsidR="006163BE" w:rsidRPr="006163BE" w:rsidRDefault="006163BE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6163BE">
              <w:rPr>
                <w:rFonts w:cs="Arial"/>
                <w:i/>
                <w:sz w:val="20"/>
                <w:szCs w:val="20"/>
              </w:rPr>
              <w:t>Literacy</w:t>
            </w:r>
            <w:r w:rsidR="00145654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6F4D7A" w:rsidRPr="006F4D7A" w:rsidRDefault="006F4D7A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6F4D7A" w:rsidRPr="006F4D7A" w:rsidRDefault="006F4D7A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F4D7A">
              <w:rPr>
                <w:rFonts w:cs="Arial"/>
                <w:b/>
                <w:bCs/>
                <w:sz w:val="18"/>
                <w:szCs w:val="18"/>
              </w:rPr>
              <w:t xml:space="preserve">Increase every student’s literacy performance along the DEC Literacy learning continuum for </w:t>
            </w:r>
            <w:r w:rsidR="00E90AA8">
              <w:rPr>
                <w:rFonts w:cs="Arial"/>
                <w:b/>
                <w:bCs/>
                <w:sz w:val="18"/>
                <w:szCs w:val="18"/>
              </w:rPr>
              <w:t>reading texts by an average of 1 cluster</w:t>
            </w:r>
            <w:r w:rsidRPr="006F4D7A">
              <w:rPr>
                <w:rFonts w:cs="Arial"/>
                <w:b/>
                <w:bCs/>
                <w:sz w:val="18"/>
                <w:szCs w:val="18"/>
              </w:rPr>
              <w:t xml:space="preserve"> for individual entry to exit date.</w:t>
            </w:r>
            <w:r w:rsidR="00E905C8">
              <w:rPr>
                <w:rFonts w:cs="Arial"/>
                <w:b/>
                <w:bCs/>
                <w:sz w:val="18"/>
                <w:szCs w:val="18"/>
              </w:rPr>
              <w:t xml:space="preserve">  Consider stage level and student entrance and exit dates).</w:t>
            </w:r>
          </w:p>
          <w:p w:rsidR="006F0112" w:rsidRPr="006163BE" w:rsidRDefault="006163BE" w:rsidP="006163BE">
            <w:pPr>
              <w:rPr>
                <w:sz w:val="20"/>
                <w:szCs w:val="20"/>
              </w:rPr>
            </w:pPr>
            <w:r w:rsidRPr="006163BE">
              <w:rPr>
                <w:sz w:val="20"/>
                <w:szCs w:val="20"/>
              </w:rPr>
              <w:t>Improve student achievement  on stage based outcomes from 70% achieving “sound” or higher, in yearly r</w:t>
            </w:r>
            <w:r w:rsidR="004B3F3A">
              <w:rPr>
                <w:sz w:val="20"/>
                <w:szCs w:val="20"/>
              </w:rPr>
              <w:t xml:space="preserve">eports in </w:t>
            </w:r>
            <w:r w:rsidR="00E90AA8">
              <w:rPr>
                <w:sz w:val="20"/>
                <w:szCs w:val="20"/>
              </w:rPr>
              <w:t>Comprehension</w:t>
            </w:r>
            <w:r w:rsidR="004B3F3A">
              <w:rPr>
                <w:sz w:val="20"/>
                <w:szCs w:val="20"/>
              </w:rPr>
              <w:t xml:space="preserve"> in </w:t>
            </w:r>
            <w:r w:rsidR="00E905C8">
              <w:rPr>
                <w:sz w:val="20"/>
                <w:szCs w:val="20"/>
              </w:rPr>
              <w:t>2012 to 75% in 2013</w:t>
            </w:r>
            <w:r w:rsidR="004B3F3A">
              <w:rPr>
                <w:sz w:val="20"/>
                <w:szCs w:val="20"/>
              </w:rPr>
              <w:t>, and 80% by</w:t>
            </w:r>
            <w:r w:rsidRPr="006163BE">
              <w:rPr>
                <w:sz w:val="20"/>
                <w:szCs w:val="20"/>
              </w:rPr>
              <w:t xml:space="preserve"> 2014 for all students Year 5 - 9.</w:t>
            </w:r>
          </w:p>
          <w:p w:rsidR="006163BE" w:rsidRPr="006163BE" w:rsidRDefault="006163BE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6163BE">
              <w:rPr>
                <w:rFonts w:cs="Arial"/>
                <w:i/>
                <w:sz w:val="20"/>
                <w:szCs w:val="20"/>
              </w:rPr>
              <w:t>Numeracy</w:t>
            </w:r>
          </w:p>
          <w:p w:rsidR="006163BE" w:rsidRPr="006F4D7A" w:rsidRDefault="006163BE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163BE">
              <w:rPr>
                <w:rFonts w:cs="Arial"/>
                <w:sz w:val="20"/>
                <w:szCs w:val="20"/>
              </w:rPr>
              <w:t>Improve student achievement as recorded in weekly tests for place value as indicated on IEP</w:t>
            </w:r>
            <w:r w:rsidR="004B3F3A">
              <w:rPr>
                <w:rFonts w:cs="Arial"/>
                <w:sz w:val="20"/>
                <w:szCs w:val="20"/>
              </w:rPr>
              <w:t xml:space="preserve">s from 80% correct in 2011 to 85% in 2012, and 90% by </w:t>
            </w:r>
            <w:r w:rsidRPr="006163BE">
              <w:rPr>
                <w:rFonts w:cs="Arial"/>
                <w:sz w:val="20"/>
                <w:szCs w:val="20"/>
              </w:rPr>
              <w:t>2014.</w:t>
            </w:r>
            <w:r w:rsidR="006F4D7A">
              <w:rPr>
                <w:rFonts w:cs="Arial"/>
                <w:sz w:val="20"/>
                <w:szCs w:val="20"/>
              </w:rPr>
              <w:t xml:space="preserve"> </w:t>
            </w:r>
            <w:r w:rsidR="006F4D7A" w:rsidRPr="006F4D7A">
              <w:rPr>
                <w:rFonts w:cs="Arial"/>
                <w:b/>
                <w:sz w:val="18"/>
                <w:szCs w:val="18"/>
              </w:rPr>
              <w:t>**</w:t>
            </w:r>
          </w:p>
          <w:p w:rsidR="006F4D7A" w:rsidRPr="006F4D7A" w:rsidRDefault="006F4D7A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6F4D7A" w:rsidRPr="00E905C8" w:rsidRDefault="006F4D7A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F4D7A">
              <w:rPr>
                <w:rFonts w:cs="Arial"/>
                <w:b/>
                <w:sz w:val="18"/>
                <w:szCs w:val="18"/>
              </w:rPr>
              <w:t>Increase every student’s numeracy performance along the DEC numeracy learning continuum for place value by an average of 1 level for individual entry to exit date</w:t>
            </w:r>
            <w:r w:rsidRPr="006F4D7A">
              <w:rPr>
                <w:rFonts w:cs="Arial"/>
                <w:sz w:val="18"/>
                <w:szCs w:val="18"/>
              </w:rPr>
              <w:t>.</w:t>
            </w:r>
            <w:r w:rsidR="00E905C8">
              <w:rPr>
                <w:rFonts w:cs="Arial"/>
                <w:sz w:val="18"/>
                <w:szCs w:val="18"/>
              </w:rPr>
              <w:t xml:space="preserve"> </w:t>
            </w:r>
            <w:r w:rsidR="00E905C8">
              <w:rPr>
                <w:rFonts w:cs="Arial"/>
                <w:b/>
                <w:sz w:val="18"/>
                <w:szCs w:val="18"/>
              </w:rPr>
              <w:t>(Consider stage level and student entrance and exit dates).</w:t>
            </w:r>
          </w:p>
          <w:p w:rsidR="006F0112" w:rsidRPr="006163BE" w:rsidRDefault="006163BE" w:rsidP="006163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63BE">
              <w:rPr>
                <w:rFonts w:cs="Arial"/>
                <w:sz w:val="20"/>
                <w:szCs w:val="20"/>
              </w:rPr>
              <w:t>Improve student achievement  on stage based outcomes from 60% achieving “sound” or higher, in yearly reports in Space and Measureme</w:t>
            </w:r>
            <w:r w:rsidR="00E905C8">
              <w:rPr>
                <w:rFonts w:cs="Arial"/>
                <w:sz w:val="20"/>
                <w:szCs w:val="20"/>
              </w:rPr>
              <w:t>nt in 2012</w:t>
            </w:r>
            <w:r w:rsidR="004B3F3A">
              <w:rPr>
                <w:rFonts w:cs="Arial"/>
                <w:sz w:val="20"/>
                <w:szCs w:val="20"/>
              </w:rPr>
              <w:t xml:space="preserve"> to 65</w:t>
            </w:r>
            <w:r w:rsidR="00E905C8">
              <w:rPr>
                <w:rFonts w:cs="Arial"/>
                <w:sz w:val="20"/>
                <w:szCs w:val="20"/>
              </w:rPr>
              <w:t>% in 2013</w:t>
            </w:r>
            <w:r w:rsidRPr="006163BE">
              <w:rPr>
                <w:rFonts w:cs="Arial"/>
                <w:sz w:val="20"/>
                <w:szCs w:val="20"/>
              </w:rPr>
              <w:t xml:space="preserve">, </w:t>
            </w:r>
            <w:r w:rsidR="004B3F3A">
              <w:rPr>
                <w:rFonts w:cs="Arial"/>
                <w:sz w:val="20"/>
                <w:szCs w:val="20"/>
              </w:rPr>
              <w:t>and 70% by</w:t>
            </w:r>
            <w:r w:rsidRPr="006163BE">
              <w:rPr>
                <w:rFonts w:cs="Arial"/>
                <w:sz w:val="20"/>
                <w:szCs w:val="20"/>
              </w:rPr>
              <w:t xml:space="preserve"> 2014 for all students Year 5 - 9.</w:t>
            </w:r>
          </w:p>
          <w:p w:rsidR="006163BE" w:rsidRPr="006163BE" w:rsidRDefault="006163BE" w:rsidP="006163BE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163BE">
              <w:rPr>
                <w:rFonts w:cs="Arial"/>
                <w:i/>
                <w:sz w:val="20"/>
                <w:szCs w:val="20"/>
              </w:rPr>
              <w:t>Student Wellbeing</w:t>
            </w:r>
            <w:r w:rsidR="00921234">
              <w:rPr>
                <w:rFonts w:cs="Arial"/>
                <w:i/>
                <w:sz w:val="20"/>
                <w:szCs w:val="20"/>
              </w:rPr>
              <w:t>/Engagement</w:t>
            </w:r>
          </w:p>
          <w:p w:rsidR="006163BE" w:rsidRPr="006163BE" w:rsidRDefault="006163BE" w:rsidP="006163BE">
            <w:pPr>
              <w:rPr>
                <w:sz w:val="20"/>
                <w:szCs w:val="20"/>
              </w:rPr>
            </w:pPr>
            <w:r w:rsidRPr="006163BE">
              <w:rPr>
                <w:rFonts w:cs="Arial"/>
                <w:sz w:val="20"/>
                <w:szCs w:val="20"/>
              </w:rPr>
              <w:t>Reduce the total number of suspensions, short and l</w:t>
            </w:r>
            <w:r w:rsidR="004B3F3A">
              <w:rPr>
                <w:rFonts w:cs="Arial"/>
                <w:sz w:val="20"/>
                <w:szCs w:val="20"/>
              </w:rPr>
              <w:t>ong term, from 102 in 2011 to 90</w:t>
            </w:r>
            <w:r w:rsidRPr="006163BE">
              <w:rPr>
                <w:rFonts w:cs="Arial"/>
                <w:sz w:val="20"/>
                <w:szCs w:val="20"/>
              </w:rPr>
              <w:t xml:space="preserve"> in </w:t>
            </w:r>
            <w:r w:rsidR="004B3F3A">
              <w:rPr>
                <w:rFonts w:cs="Arial"/>
                <w:sz w:val="20"/>
                <w:szCs w:val="20"/>
              </w:rPr>
              <w:t>2012, 80 in 2013 and 7</w:t>
            </w:r>
            <w:r w:rsidR="00855470">
              <w:rPr>
                <w:rFonts w:cs="Arial"/>
                <w:sz w:val="20"/>
                <w:szCs w:val="20"/>
              </w:rPr>
              <w:t>0 in 2014 for all students, including Aboriginal Students, through increased engagement in school programs.</w:t>
            </w:r>
          </w:p>
          <w:p w:rsidR="006F0112" w:rsidRDefault="006F0112" w:rsidP="00102D35"/>
        </w:tc>
      </w:tr>
      <w:tr w:rsidR="006F0112" w:rsidRPr="00C30BFE" w:rsidTr="009B02AE">
        <w:trPr>
          <w:trHeight w:val="676"/>
        </w:trPr>
        <w:tc>
          <w:tcPr>
            <w:tcW w:w="7676" w:type="dxa"/>
            <w:shd w:val="clear" w:color="auto" w:fill="DBE5F1" w:themeFill="accent1" w:themeFillTint="33"/>
          </w:tcPr>
          <w:p w:rsidR="006F0112" w:rsidRPr="00C30BFE" w:rsidRDefault="006F0112" w:rsidP="00102D35">
            <w:pPr>
              <w:rPr>
                <w:i/>
              </w:rPr>
            </w:pPr>
            <w:r w:rsidRPr="00C30BFE">
              <w:rPr>
                <w:i/>
              </w:rPr>
              <w:t>PRINCIPAL’S SIGNATURE</w:t>
            </w:r>
            <w:r w:rsidR="0079770C">
              <w:rPr>
                <w:i/>
              </w:rPr>
              <w:t xml:space="preserve">: </w:t>
            </w:r>
            <w:r w:rsidR="0079770C" w:rsidRPr="0079770C">
              <w:rPr>
                <w:rFonts w:ascii="Brush Script MT" w:hAnsi="Brush Script MT"/>
                <w:i/>
                <w:sz w:val="32"/>
              </w:rPr>
              <w:t>Marianne Mitchell</w:t>
            </w:r>
          </w:p>
          <w:p w:rsidR="006F0112" w:rsidRPr="00C30BFE" w:rsidRDefault="006F0112" w:rsidP="00102D35">
            <w:pPr>
              <w:rPr>
                <w:i/>
              </w:rPr>
            </w:pPr>
          </w:p>
        </w:tc>
        <w:tc>
          <w:tcPr>
            <w:tcW w:w="8308" w:type="dxa"/>
            <w:shd w:val="clear" w:color="auto" w:fill="DBE5F1" w:themeFill="accent1" w:themeFillTint="33"/>
          </w:tcPr>
          <w:p w:rsidR="006F0112" w:rsidRPr="00C30BFE" w:rsidRDefault="006F0112" w:rsidP="00E90AA8">
            <w:pPr>
              <w:rPr>
                <w:i/>
              </w:rPr>
            </w:pPr>
            <w:r w:rsidRPr="00C30BFE">
              <w:rPr>
                <w:i/>
              </w:rPr>
              <w:t>SED ENDORSEMENT</w:t>
            </w:r>
            <w:r w:rsidR="0079770C">
              <w:rPr>
                <w:i/>
              </w:rPr>
              <w:t xml:space="preserve">: </w:t>
            </w:r>
            <w:r w:rsidR="00E90AA8">
              <w:rPr>
                <w:i/>
              </w:rPr>
              <w:t xml:space="preserve"> </w:t>
            </w:r>
            <w:r w:rsidR="0027395A" w:rsidRPr="0027395A">
              <w:rPr>
                <w:rFonts w:ascii="Freestyle Script" w:hAnsi="Freestyle Script"/>
                <w:i/>
                <w:sz w:val="32"/>
              </w:rPr>
              <w:t>Sandra Clifford</w:t>
            </w:r>
            <w:r w:rsidR="00E90AA8" w:rsidRPr="0027395A">
              <w:rPr>
                <w:i/>
                <w:sz w:val="32"/>
              </w:rPr>
              <w:t xml:space="preserve">                 </w:t>
            </w:r>
            <w:r w:rsidRPr="0027395A">
              <w:rPr>
                <w:i/>
                <w:sz w:val="44"/>
              </w:rPr>
              <w:t xml:space="preserve">           </w:t>
            </w:r>
            <w:r w:rsidRPr="00C30BFE">
              <w:rPr>
                <w:i/>
              </w:rPr>
              <w:t>DATE</w:t>
            </w:r>
            <w:r w:rsidR="0079770C">
              <w:rPr>
                <w:i/>
              </w:rPr>
              <w:t xml:space="preserve">: </w:t>
            </w:r>
            <w:r w:rsidR="00B81237">
              <w:rPr>
                <w:i/>
              </w:rPr>
              <w:t>22</w:t>
            </w:r>
            <w:r w:rsidR="0027395A">
              <w:rPr>
                <w:i/>
              </w:rPr>
              <w:t>.11.12</w:t>
            </w:r>
          </w:p>
        </w:tc>
      </w:tr>
    </w:tbl>
    <w:tbl>
      <w:tblPr>
        <w:tblStyle w:val="TableGrid"/>
        <w:tblpPr w:leftFromText="181" w:rightFromText="181" w:vertAnchor="page" w:horzAnchor="margin" w:tblpY="2271"/>
        <w:tblW w:w="15984" w:type="dxa"/>
        <w:tblLayout w:type="fixed"/>
        <w:tblLook w:val="04A0"/>
      </w:tblPr>
      <w:tblGrid>
        <w:gridCol w:w="1242"/>
        <w:gridCol w:w="1814"/>
        <w:gridCol w:w="1845"/>
        <w:gridCol w:w="2554"/>
        <w:gridCol w:w="3122"/>
        <w:gridCol w:w="730"/>
        <w:gridCol w:w="708"/>
        <w:gridCol w:w="709"/>
        <w:gridCol w:w="1276"/>
        <w:gridCol w:w="1984"/>
      </w:tblGrid>
      <w:tr w:rsidR="00D91266" w:rsidRPr="004C66FD" w:rsidTr="008E2D7C">
        <w:trPr>
          <w:trHeight w:val="1833"/>
        </w:trPr>
        <w:tc>
          <w:tcPr>
            <w:tcW w:w="1242" w:type="dxa"/>
          </w:tcPr>
          <w:p w:rsidR="00D91266" w:rsidRPr="00E43307" w:rsidRDefault="004F0A74" w:rsidP="00FB666A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lastRenderedPageBreak/>
              <w:t>1,2,</w:t>
            </w:r>
            <w:r w:rsidR="00FB666A">
              <w:rPr>
                <w:color w:val="7030A0"/>
                <w:sz w:val="24"/>
              </w:rPr>
              <w:t xml:space="preserve"> </w:t>
            </w:r>
            <w:r w:rsidR="00F56AFB">
              <w:rPr>
                <w:color w:val="7030A0"/>
                <w:sz w:val="24"/>
              </w:rPr>
              <w:t>5.</w:t>
            </w:r>
          </w:p>
        </w:tc>
        <w:tc>
          <w:tcPr>
            <w:tcW w:w="1814" w:type="dxa"/>
          </w:tcPr>
          <w:p w:rsidR="00921234" w:rsidRDefault="00921234" w:rsidP="00921234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Increased levels of literacy achievement for all students with a particular focus on grammar</w:t>
            </w:r>
            <w:r w:rsidR="005B3DDD">
              <w:rPr>
                <w:color w:val="7030A0"/>
                <w:sz w:val="20"/>
                <w:szCs w:val="20"/>
              </w:rPr>
              <w:t>,</w:t>
            </w:r>
            <w:r>
              <w:rPr>
                <w:color w:val="7030A0"/>
                <w:sz w:val="20"/>
                <w:szCs w:val="20"/>
              </w:rPr>
              <w:t xml:space="preserve"> punctuation</w:t>
            </w:r>
            <w:r w:rsidR="000D784D">
              <w:rPr>
                <w:color w:val="7030A0"/>
                <w:sz w:val="20"/>
                <w:szCs w:val="20"/>
              </w:rPr>
              <w:t xml:space="preserve"> and comprehension</w:t>
            </w:r>
            <w:r>
              <w:rPr>
                <w:color w:val="7030A0"/>
                <w:sz w:val="20"/>
                <w:szCs w:val="20"/>
              </w:rPr>
              <w:t>.</w:t>
            </w:r>
          </w:p>
          <w:p w:rsidR="00921234" w:rsidRDefault="00921234" w:rsidP="008E2D7C">
            <w:pPr>
              <w:rPr>
                <w:color w:val="7030A0"/>
                <w:sz w:val="20"/>
                <w:szCs w:val="20"/>
              </w:rPr>
            </w:pPr>
          </w:p>
          <w:p w:rsidR="00921234" w:rsidRDefault="00921234" w:rsidP="008E2D7C">
            <w:pPr>
              <w:rPr>
                <w:color w:val="7030A0"/>
                <w:sz w:val="20"/>
                <w:szCs w:val="20"/>
              </w:rPr>
            </w:pPr>
          </w:p>
          <w:p w:rsidR="00921234" w:rsidRDefault="00921234" w:rsidP="008E2D7C">
            <w:pPr>
              <w:rPr>
                <w:color w:val="7030A0"/>
                <w:sz w:val="20"/>
                <w:szCs w:val="20"/>
              </w:rPr>
            </w:pPr>
          </w:p>
          <w:p w:rsidR="00921234" w:rsidRDefault="00921234" w:rsidP="008E2D7C">
            <w:pPr>
              <w:rPr>
                <w:color w:val="7030A0"/>
                <w:sz w:val="20"/>
                <w:szCs w:val="20"/>
              </w:rPr>
            </w:pPr>
          </w:p>
          <w:p w:rsidR="00D91266" w:rsidRPr="00D91266" w:rsidRDefault="00D91266" w:rsidP="002A003C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845" w:type="dxa"/>
          </w:tcPr>
          <w:p w:rsidR="008E2D7C" w:rsidRPr="006F4D7A" w:rsidRDefault="008E2D7C" w:rsidP="006F4D7A">
            <w:pPr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>Literacy</w:t>
            </w:r>
          </w:p>
          <w:p w:rsidR="006F4D7A" w:rsidRPr="006F4D7A" w:rsidRDefault="006F4D7A" w:rsidP="006F4D7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>Increase every student’s literacy performance along the DEC Literacy learning continuum for reading text</w:t>
            </w:r>
            <w:r w:rsidR="000D784D">
              <w:rPr>
                <w:color w:val="7030A0"/>
                <w:sz w:val="20"/>
                <w:szCs w:val="20"/>
              </w:rPr>
              <w:t xml:space="preserve">s by an average of </w:t>
            </w:r>
            <w:r w:rsidR="003F5235">
              <w:rPr>
                <w:color w:val="7030A0"/>
                <w:sz w:val="20"/>
                <w:szCs w:val="20"/>
              </w:rPr>
              <w:t xml:space="preserve">1 cluster. </w:t>
            </w:r>
            <w:r w:rsidR="003F5235" w:rsidRPr="00790CC5">
              <w:rPr>
                <w:b/>
                <w:sz w:val="20"/>
              </w:rPr>
              <w:t xml:space="preserve"> The number of clusters for improvement </w:t>
            </w:r>
            <w:r w:rsidR="003F5235">
              <w:rPr>
                <w:b/>
                <w:sz w:val="20"/>
              </w:rPr>
              <w:t>will</w:t>
            </w:r>
            <w:r w:rsidR="003F5235" w:rsidRPr="00790CC5">
              <w:rPr>
                <w:b/>
                <w:sz w:val="20"/>
              </w:rPr>
              <w:t xml:space="preserve"> also depend on where the student’s starting point is</w:t>
            </w:r>
            <w:r w:rsidR="003F5235">
              <w:rPr>
                <w:b/>
                <w:sz w:val="20"/>
              </w:rPr>
              <w:t>,</w:t>
            </w:r>
            <w:r w:rsidR="003F5235" w:rsidRPr="00790CC5">
              <w:rPr>
                <w:b/>
                <w:sz w:val="20"/>
              </w:rPr>
              <w:t xml:space="preserve"> </w:t>
            </w:r>
            <w:r w:rsidR="003F5235">
              <w:rPr>
                <w:b/>
                <w:sz w:val="20"/>
              </w:rPr>
              <w:t>for example i</w:t>
            </w:r>
            <w:r w:rsidR="003F5235" w:rsidRPr="00790CC5">
              <w:rPr>
                <w:b/>
                <w:sz w:val="20"/>
              </w:rPr>
              <w:t>f they are performing at a stage one level, then there are two clusters per year expected; if they are performing at a stage two level then one cluster improvement per year is expected.</w:t>
            </w:r>
          </w:p>
          <w:p w:rsidR="00D91266" w:rsidRPr="00D91266" w:rsidRDefault="006F4D7A" w:rsidP="005011B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 xml:space="preserve"> </w:t>
            </w:r>
            <w:r w:rsidR="008E2D7C" w:rsidRPr="008E2D7C">
              <w:rPr>
                <w:color w:val="7030A0"/>
                <w:sz w:val="20"/>
                <w:szCs w:val="20"/>
              </w:rPr>
              <w:t>Improve student achievement  on stage based outcomes from 70% achieving “sound” or higher, in yearly r</w:t>
            </w:r>
            <w:r w:rsidR="008528D5">
              <w:rPr>
                <w:color w:val="7030A0"/>
                <w:sz w:val="20"/>
                <w:szCs w:val="20"/>
              </w:rPr>
              <w:t xml:space="preserve">eports in </w:t>
            </w:r>
            <w:r w:rsidR="005B3DDD">
              <w:rPr>
                <w:color w:val="7030A0"/>
                <w:sz w:val="20"/>
                <w:szCs w:val="20"/>
              </w:rPr>
              <w:t>Comprehension</w:t>
            </w:r>
            <w:r w:rsidR="008528D5">
              <w:rPr>
                <w:color w:val="7030A0"/>
                <w:sz w:val="20"/>
                <w:szCs w:val="20"/>
              </w:rPr>
              <w:t xml:space="preserve"> in 2011 to 75</w:t>
            </w:r>
            <w:r w:rsidR="008E2D7C" w:rsidRPr="008E2D7C">
              <w:rPr>
                <w:color w:val="7030A0"/>
                <w:sz w:val="20"/>
                <w:szCs w:val="20"/>
              </w:rPr>
              <w:t xml:space="preserve">% in 2012, </w:t>
            </w:r>
            <w:r w:rsidR="008528D5">
              <w:rPr>
                <w:color w:val="7030A0"/>
                <w:sz w:val="20"/>
                <w:szCs w:val="20"/>
              </w:rPr>
              <w:t>and 80% by</w:t>
            </w:r>
            <w:r w:rsidR="008E2D7C" w:rsidRPr="008E2D7C">
              <w:rPr>
                <w:color w:val="7030A0"/>
                <w:sz w:val="20"/>
                <w:szCs w:val="20"/>
              </w:rPr>
              <w:t xml:space="preserve"> 2014 for all students Year 5 - 9.</w:t>
            </w:r>
          </w:p>
        </w:tc>
        <w:tc>
          <w:tcPr>
            <w:tcW w:w="2554" w:type="dxa"/>
          </w:tcPr>
          <w:p w:rsidR="002A003C" w:rsidRDefault="002A003C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Teachers undertake training with SDO in the use of data (including SMART) to inform planning for teaching and learning.</w:t>
            </w:r>
          </w:p>
          <w:p w:rsidR="003F5235" w:rsidRDefault="008E2D7C" w:rsidP="003F523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8E2D7C">
              <w:rPr>
                <w:color w:val="7030A0"/>
                <w:sz w:val="20"/>
                <w:szCs w:val="20"/>
              </w:rPr>
              <w:t>Planning processes put in place to make sure elements of NAPLAN analysis evident in teaching programs</w:t>
            </w:r>
            <w:r w:rsidR="003F5235" w:rsidRPr="006F4D7A">
              <w:rPr>
                <w:color w:val="7030A0"/>
                <w:sz w:val="20"/>
                <w:szCs w:val="20"/>
              </w:rPr>
              <w:t xml:space="preserve"> </w:t>
            </w:r>
          </w:p>
          <w:p w:rsidR="003F5235" w:rsidRPr="006F4D7A" w:rsidRDefault="003F5235" w:rsidP="003F523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>As of 2013 the school will report against pre-apprenticeship accreditation/materials/</w:t>
            </w:r>
          </w:p>
          <w:p w:rsidR="003F5235" w:rsidRPr="006F4D7A" w:rsidRDefault="003F5235" w:rsidP="003F5235">
            <w:pPr>
              <w:pStyle w:val="ListParagraph"/>
              <w:ind w:left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 xml:space="preserve">Certificate </w:t>
            </w:r>
            <w:proofErr w:type="spellStart"/>
            <w:r w:rsidRPr="006F4D7A">
              <w:rPr>
                <w:color w:val="7030A0"/>
                <w:sz w:val="20"/>
                <w:szCs w:val="20"/>
              </w:rPr>
              <w:t>ll</w:t>
            </w:r>
            <w:proofErr w:type="spellEnd"/>
            <w:r w:rsidRPr="006F4D7A">
              <w:rPr>
                <w:color w:val="7030A0"/>
                <w:sz w:val="20"/>
                <w:szCs w:val="20"/>
              </w:rPr>
              <w:t xml:space="preserve"> for Work and Training.</w:t>
            </w:r>
          </w:p>
          <w:p w:rsidR="00D91266" w:rsidRDefault="008E2D7C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8E2D7C">
              <w:rPr>
                <w:color w:val="7030A0"/>
                <w:sz w:val="20"/>
                <w:szCs w:val="20"/>
              </w:rPr>
              <w:t xml:space="preserve">Planning processes put in place to make sure </w:t>
            </w:r>
            <w:r w:rsidR="0033267D">
              <w:rPr>
                <w:color w:val="7030A0"/>
                <w:sz w:val="20"/>
                <w:szCs w:val="20"/>
              </w:rPr>
              <w:t>Literacy continuum</w:t>
            </w:r>
            <w:r w:rsidRPr="008E2D7C">
              <w:rPr>
                <w:color w:val="7030A0"/>
                <w:sz w:val="20"/>
                <w:szCs w:val="20"/>
              </w:rPr>
              <w:t xml:space="preserve"> </w:t>
            </w:r>
            <w:r w:rsidR="00145654">
              <w:rPr>
                <w:color w:val="7030A0"/>
                <w:sz w:val="20"/>
                <w:szCs w:val="20"/>
              </w:rPr>
              <w:t>analysis evident in student IEP</w:t>
            </w:r>
            <w:r w:rsidRPr="008E2D7C">
              <w:rPr>
                <w:color w:val="7030A0"/>
                <w:sz w:val="20"/>
                <w:szCs w:val="20"/>
              </w:rPr>
              <w:t>s</w:t>
            </w:r>
          </w:p>
          <w:p w:rsidR="00A60864" w:rsidRDefault="00A60864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Staff undertake PL in assessment for lea</w:t>
            </w:r>
            <w:r w:rsidR="008E4F90">
              <w:rPr>
                <w:color w:val="7030A0"/>
                <w:sz w:val="20"/>
                <w:szCs w:val="20"/>
              </w:rPr>
              <w:t>r</w:t>
            </w:r>
            <w:r>
              <w:rPr>
                <w:color w:val="7030A0"/>
                <w:sz w:val="20"/>
                <w:szCs w:val="20"/>
              </w:rPr>
              <w:t>ning practices</w:t>
            </w:r>
          </w:p>
          <w:p w:rsidR="00B30C64" w:rsidRDefault="00A60864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Staff </w:t>
            </w:r>
            <w:r w:rsidR="00B30C64">
              <w:rPr>
                <w:color w:val="7030A0"/>
                <w:sz w:val="20"/>
                <w:szCs w:val="20"/>
              </w:rPr>
              <w:t xml:space="preserve">to </w:t>
            </w:r>
            <w:r>
              <w:rPr>
                <w:color w:val="7030A0"/>
                <w:sz w:val="20"/>
                <w:szCs w:val="20"/>
              </w:rPr>
              <w:t>undertake PL course Engaging Students through Effective F</w:t>
            </w:r>
            <w:r w:rsidR="00B30C64">
              <w:rPr>
                <w:color w:val="7030A0"/>
                <w:sz w:val="20"/>
                <w:szCs w:val="20"/>
              </w:rPr>
              <w:t>eedback to increase their skills in individualising instruction at a higher level.</w:t>
            </w:r>
          </w:p>
          <w:p w:rsidR="006F4D7A" w:rsidRPr="006F4D7A" w:rsidRDefault="006F4D7A" w:rsidP="006F4D7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Teacher professional learning o</w:t>
            </w:r>
            <w:r w:rsidRPr="006F4D7A">
              <w:rPr>
                <w:color w:val="7030A0"/>
                <w:sz w:val="20"/>
                <w:szCs w:val="20"/>
              </w:rPr>
              <w:t>n using the new learning pre-apprenticeship material</w:t>
            </w:r>
            <w:r w:rsidR="000D784D">
              <w:rPr>
                <w:color w:val="7030A0"/>
                <w:sz w:val="20"/>
                <w:szCs w:val="20"/>
              </w:rPr>
              <w:t>s</w:t>
            </w:r>
            <w:r w:rsidRPr="006F4D7A">
              <w:rPr>
                <w:color w:val="7030A0"/>
                <w:sz w:val="20"/>
                <w:szCs w:val="20"/>
              </w:rPr>
              <w:t xml:space="preserve"> </w:t>
            </w:r>
          </w:p>
          <w:p w:rsidR="006F4D7A" w:rsidRPr="006F4D7A" w:rsidRDefault="006F4D7A" w:rsidP="006F4D7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 xml:space="preserve">Teacher professional learning in the interactive </w:t>
            </w:r>
            <w:r w:rsidRPr="005011B3">
              <w:rPr>
                <w:color w:val="7030A0"/>
                <w:sz w:val="20"/>
                <w:szCs w:val="20"/>
              </w:rPr>
              <w:t>Literacy</w:t>
            </w:r>
            <w:r w:rsidRPr="006F4D7A">
              <w:rPr>
                <w:color w:val="7030A0"/>
                <w:sz w:val="20"/>
                <w:szCs w:val="20"/>
              </w:rPr>
              <w:t xml:space="preserve"> continuum K-10 and associated teaching and learning strategies.</w:t>
            </w:r>
          </w:p>
          <w:p w:rsidR="00145654" w:rsidRDefault="00145654" w:rsidP="00145654">
            <w:pPr>
              <w:rPr>
                <w:color w:val="7030A0"/>
                <w:sz w:val="20"/>
                <w:szCs w:val="20"/>
              </w:rPr>
            </w:pPr>
          </w:p>
          <w:p w:rsidR="005011B3" w:rsidRPr="005011B3" w:rsidRDefault="005011B3" w:rsidP="005011B3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5011B3">
              <w:rPr>
                <w:color w:val="7030A0"/>
                <w:sz w:val="20"/>
                <w:szCs w:val="20"/>
              </w:rPr>
              <w:t>As of 2013 the school will report against pre-apprenticeship accreditation/materials/</w:t>
            </w:r>
          </w:p>
          <w:p w:rsidR="005011B3" w:rsidRPr="005011B3" w:rsidRDefault="005011B3" w:rsidP="005011B3">
            <w:pPr>
              <w:pStyle w:val="ListParagraph"/>
              <w:ind w:left="176"/>
              <w:rPr>
                <w:color w:val="7030A0"/>
                <w:sz w:val="20"/>
                <w:szCs w:val="20"/>
              </w:rPr>
            </w:pPr>
            <w:r w:rsidRPr="005011B3">
              <w:rPr>
                <w:color w:val="7030A0"/>
                <w:sz w:val="20"/>
                <w:szCs w:val="20"/>
              </w:rPr>
              <w:t xml:space="preserve">Certificate </w:t>
            </w:r>
            <w:proofErr w:type="spellStart"/>
            <w:r w:rsidRPr="005011B3">
              <w:rPr>
                <w:color w:val="7030A0"/>
                <w:sz w:val="20"/>
                <w:szCs w:val="20"/>
              </w:rPr>
              <w:t>ll</w:t>
            </w:r>
            <w:proofErr w:type="spellEnd"/>
            <w:r w:rsidRPr="005011B3">
              <w:rPr>
                <w:color w:val="7030A0"/>
                <w:sz w:val="20"/>
                <w:szCs w:val="20"/>
              </w:rPr>
              <w:t xml:space="preserve"> for Work and Training.</w:t>
            </w:r>
          </w:p>
          <w:p w:rsidR="00145654" w:rsidRPr="00145654" w:rsidRDefault="00145654" w:rsidP="001456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6163BE" w:rsidRPr="006163BE" w:rsidRDefault="006163BE" w:rsidP="006163BE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Staff trained in </w:t>
            </w:r>
            <w:r w:rsidR="002E3127">
              <w:rPr>
                <w:color w:val="7030A0"/>
                <w:sz w:val="20"/>
                <w:szCs w:val="20"/>
              </w:rPr>
              <w:t>use of data</w:t>
            </w:r>
            <w:r>
              <w:rPr>
                <w:color w:val="7030A0"/>
                <w:sz w:val="20"/>
                <w:szCs w:val="20"/>
              </w:rPr>
              <w:t xml:space="preserve"> by the SDO.</w:t>
            </w:r>
          </w:p>
          <w:p w:rsidR="008E2D7C" w:rsidRPr="00D91266" w:rsidRDefault="008E2D7C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D91266">
              <w:rPr>
                <w:color w:val="7030A0"/>
                <w:sz w:val="20"/>
                <w:szCs w:val="20"/>
              </w:rPr>
              <w:t xml:space="preserve">Evidence in teachers’ programs of </w:t>
            </w:r>
            <w:r>
              <w:rPr>
                <w:color w:val="7030A0"/>
                <w:sz w:val="20"/>
                <w:szCs w:val="20"/>
              </w:rPr>
              <w:t>data analysis</w:t>
            </w:r>
            <w:r w:rsidRPr="00D91266">
              <w:rPr>
                <w:color w:val="7030A0"/>
                <w:sz w:val="20"/>
                <w:szCs w:val="20"/>
              </w:rPr>
              <w:t xml:space="preserve"> being implemented successfully</w:t>
            </w:r>
          </w:p>
          <w:p w:rsidR="00D91266" w:rsidRPr="00B30C64" w:rsidRDefault="008E2D7C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color w:val="7030A0"/>
                <w:sz w:val="20"/>
                <w:szCs w:val="20"/>
              </w:rPr>
            </w:pPr>
            <w:r w:rsidRPr="00D91266">
              <w:rPr>
                <w:color w:val="7030A0"/>
                <w:sz w:val="20"/>
                <w:szCs w:val="20"/>
              </w:rPr>
              <w:t xml:space="preserve">Teachers programs reflect an integrated use </w:t>
            </w:r>
            <w:r>
              <w:rPr>
                <w:color w:val="7030A0"/>
                <w:sz w:val="20"/>
                <w:szCs w:val="20"/>
              </w:rPr>
              <w:t>of teaching s</w:t>
            </w:r>
            <w:r w:rsidRPr="00D91266">
              <w:rPr>
                <w:color w:val="7030A0"/>
                <w:sz w:val="20"/>
                <w:szCs w:val="20"/>
              </w:rPr>
              <w:t>trategies</w:t>
            </w:r>
            <w:r w:rsidR="006163BE">
              <w:rPr>
                <w:color w:val="7030A0"/>
                <w:sz w:val="20"/>
                <w:szCs w:val="20"/>
              </w:rPr>
              <w:t xml:space="preserve"> from SMART.</w:t>
            </w:r>
          </w:p>
          <w:p w:rsidR="00B30C64" w:rsidRPr="006F4D7A" w:rsidRDefault="00B30C64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Staff using aspects of effective feedback when supporting student development.</w:t>
            </w:r>
          </w:p>
          <w:p w:rsidR="000D784D" w:rsidRDefault="006F4D7A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0D784D">
              <w:rPr>
                <w:color w:val="7030A0"/>
                <w:sz w:val="20"/>
                <w:szCs w:val="20"/>
              </w:rPr>
              <w:t>Staff have data w</w:t>
            </w:r>
            <w:r w:rsidR="000D784D" w:rsidRPr="000D784D">
              <w:rPr>
                <w:color w:val="7030A0"/>
                <w:sz w:val="20"/>
                <w:szCs w:val="20"/>
              </w:rPr>
              <w:t>alls of the literacy continuum</w:t>
            </w:r>
            <w:r w:rsidRPr="000D784D">
              <w:rPr>
                <w:color w:val="7030A0"/>
                <w:sz w:val="20"/>
                <w:szCs w:val="20"/>
              </w:rPr>
              <w:t xml:space="preserve"> showing student </w:t>
            </w:r>
            <w:r w:rsidR="000D784D">
              <w:rPr>
                <w:color w:val="7030A0"/>
                <w:sz w:val="20"/>
                <w:szCs w:val="20"/>
              </w:rPr>
              <w:t>progress</w:t>
            </w:r>
          </w:p>
          <w:p w:rsidR="000D784D" w:rsidRDefault="000D784D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0D784D">
              <w:rPr>
                <w:color w:val="7030A0"/>
                <w:sz w:val="20"/>
                <w:szCs w:val="20"/>
              </w:rPr>
              <w:t>Staff  using the new learning pre-apprenticeship materials</w:t>
            </w:r>
          </w:p>
          <w:p w:rsidR="0033267D" w:rsidRPr="000D784D" w:rsidRDefault="0033267D" w:rsidP="008E2D7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Students IEP’s reflect targets pertaining to their individual levels that are 1 cluster above their entry levels into The </w:t>
            </w:r>
            <w:proofErr w:type="spellStart"/>
            <w:r>
              <w:rPr>
                <w:color w:val="7030A0"/>
                <w:sz w:val="20"/>
                <w:szCs w:val="20"/>
              </w:rPr>
              <w:t>Bidgee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School for reading.</w:t>
            </w:r>
          </w:p>
          <w:p w:rsidR="00145654" w:rsidRDefault="00145654" w:rsidP="00145654">
            <w:pPr>
              <w:rPr>
                <w:i/>
                <w:color w:val="7030A0"/>
                <w:sz w:val="20"/>
                <w:szCs w:val="20"/>
              </w:rPr>
            </w:pPr>
          </w:p>
          <w:p w:rsidR="00145654" w:rsidRPr="00145654" w:rsidRDefault="00145654" w:rsidP="0014565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D91266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Pr="00D91266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D91266" w:rsidRDefault="00F7119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Pr="00D91266" w:rsidRDefault="00AB1CBC" w:rsidP="00D9126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266" w:rsidRDefault="00F7119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Default="00B30C64" w:rsidP="00D91266">
            <w:pPr>
              <w:rPr>
                <w:color w:val="7030A0"/>
                <w:sz w:val="20"/>
                <w:szCs w:val="20"/>
              </w:rPr>
            </w:pPr>
          </w:p>
          <w:p w:rsidR="00B30C64" w:rsidRPr="00D91266" w:rsidRDefault="00B30C6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6163BE" w:rsidRPr="00D91266" w:rsidRDefault="006163BE" w:rsidP="006163BE">
            <w:pPr>
              <w:rPr>
                <w:color w:val="7030A0"/>
                <w:sz w:val="20"/>
                <w:szCs w:val="20"/>
              </w:rPr>
            </w:pPr>
            <w:r w:rsidRPr="00D91266">
              <w:rPr>
                <w:color w:val="7030A0"/>
                <w:sz w:val="20"/>
                <w:szCs w:val="20"/>
              </w:rPr>
              <w:t>Principal</w:t>
            </w:r>
          </w:p>
          <w:p w:rsidR="006163BE" w:rsidRPr="00D91266" w:rsidRDefault="006163BE" w:rsidP="006163BE">
            <w:pPr>
              <w:rPr>
                <w:color w:val="7030A0"/>
                <w:sz w:val="20"/>
                <w:szCs w:val="20"/>
              </w:rPr>
            </w:pPr>
          </w:p>
          <w:p w:rsidR="00D91266" w:rsidRPr="00D91266" w:rsidRDefault="006163BE" w:rsidP="006163BE">
            <w:pPr>
              <w:rPr>
                <w:color w:val="7030A0"/>
                <w:sz w:val="20"/>
                <w:szCs w:val="20"/>
              </w:rPr>
            </w:pPr>
            <w:r w:rsidRPr="00D91266">
              <w:rPr>
                <w:color w:val="7030A0"/>
                <w:sz w:val="20"/>
                <w:szCs w:val="20"/>
              </w:rPr>
              <w:t>AP</w:t>
            </w:r>
          </w:p>
        </w:tc>
        <w:tc>
          <w:tcPr>
            <w:tcW w:w="1984" w:type="dxa"/>
          </w:tcPr>
          <w:p w:rsidR="0014128C" w:rsidRPr="00D91266" w:rsidRDefault="0014128C" w:rsidP="0014128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NP Low SES</w:t>
            </w:r>
            <w:r w:rsidRPr="00D91266">
              <w:rPr>
                <w:color w:val="7030A0"/>
                <w:sz w:val="20"/>
                <w:szCs w:val="20"/>
              </w:rPr>
              <w:t xml:space="preserve"> Budget</w:t>
            </w:r>
          </w:p>
          <w:p w:rsidR="00D91266" w:rsidRPr="00D91266" w:rsidRDefault="0014128C" w:rsidP="00656BB3">
            <w:pPr>
              <w:rPr>
                <w:color w:val="7030A0"/>
                <w:sz w:val="20"/>
                <w:szCs w:val="20"/>
              </w:rPr>
            </w:pPr>
            <w:r w:rsidRPr="00D91266">
              <w:rPr>
                <w:color w:val="7030A0"/>
                <w:sz w:val="20"/>
                <w:szCs w:val="20"/>
              </w:rPr>
              <w:t>$</w:t>
            </w:r>
            <w:r w:rsidR="00656BB3">
              <w:rPr>
                <w:color w:val="7030A0"/>
                <w:sz w:val="20"/>
                <w:szCs w:val="20"/>
              </w:rPr>
              <w:t>3</w:t>
            </w:r>
            <w:r w:rsidR="00323498">
              <w:rPr>
                <w:color w:val="7030A0"/>
                <w:sz w:val="20"/>
                <w:szCs w:val="20"/>
              </w:rPr>
              <w:t>000</w:t>
            </w:r>
            <w:r w:rsidRPr="00D91266">
              <w:rPr>
                <w:color w:val="7030A0"/>
                <w:sz w:val="20"/>
                <w:szCs w:val="20"/>
              </w:rPr>
              <w:t>.00</w:t>
            </w:r>
          </w:p>
        </w:tc>
      </w:tr>
      <w:tr w:rsidR="00D91266" w:rsidRPr="004C66FD" w:rsidTr="00D91266">
        <w:trPr>
          <w:trHeight w:val="2966"/>
        </w:trPr>
        <w:tc>
          <w:tcPr>
            <w:tcW w:w="1242" w:type="dxa"/>
          </w:tcPr>
          <w:p w:rsidR="00D91266" w:rsidRPr="00E43307" w:rsidRDefault="00FB666A" w:rsidP="00D91266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1,3</w:t>
            </w:r>
          </w:p>
        </w:tc>
        <w:tc>
          <w:tcPr>
            <w:tcW w:w="1814" w:type="dxa"/>
          </w:tcPr>
          <w:p w:rsidR="00921234" w:rsidRDefault="00F458BC" w:rsidP="00E2177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Increased levels of numeracy achievement</w:t>
            </w:r>
          </w:p>
          <w:p w:rsidR="00D91266" w:rsidRPr="00D91266" w:rsidRDefault="00F458BC" w:rsidP="00E2177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for all students with a particular focus on place value</w:t>
            </w:r>
          </w:p>
        </w:tc>
        <w:tc>
          <w:tcPr>
            <w:tcW w:w="1845" w:type="dxa"/>
          </w:tcPr>
          <w:p w:rsidR="00D91266" w:rsidRPr="000D784D" w:rsidRDefault="00FB666A" w:rsidP="000D784D">
            <w:pPr>
              <w:rPr>
                <w:i/>
                <w:color w:val="7030A0"/>
                <w:sz w:val="20"/>
                <w:szCs w:val="20"/>
              </w:rPr>
            </w:pPr>
            <w:r w:rsidRPr="000D784D">
              <w:rPr>
                <w:i/>
                <w:color w:val="7030A0"/>
                <w:sz w:val="20"/>
                <w:szCs w:val="20"/>
              </w:rPr>
              <w:t>Numeracy</w:t>
            </w:r>
          </w:p>
          <w:p w:rsidR="000B3775" w:rsidRPr="006F4D7A" w:rsidRDefault="000D784D" w:rsidP="000B377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0D784D">
              <w:rPr>
                <w:color w:val="7030A0"/>
                <w:sz w:val="20"/>
                <w:szCs w:val="20"/>
              </w:rPr>
              <w:t>Increase every student’s numeracy performance along the DEC numeracy learning continuum for plac</w:t>
            </w:r>
            <w:r w:rsidR="000B3775">
              <w:rPr>
                <w:color w:val="7030A0"/>
                <w:sz w:val="20"/>
                <w:szCs w:val="20"/>
              </w:rPr>
              <w:t xml:space="preserve">e value by an average of 1 cluster.  . </w:t>
            </w:r>
            <w:r w:rsidR="000B3775" w:rsidRPr="00790CC5">
              <w:rPr>
                <w:b/>
                <w:sz w:val="20"/>
              </w:rPr>
              <w:t xml:space="preserve"> The number of clusters for improvement </w:t>
            </w:r>
            <w:r w:rsidR="000B3775">
              <w:rPr>
                <w:b/>
                <w:sz w:val="20"/>
              </w:rPr>
              <w:t>will</w:t>
            </w:r>
            <w:r w:rsidR="000B3775" w:rsidRPr="00790CC5">
              <w:rPr>
                <w:b/>
                <w:sz w:val="20"/>
              </w:rPr>
              <w:t xml:space="preserve"> also depend on where the student’s starting point is</w:t>
            </w:r>
            <w:r w:rsidR="000B3775">
              <w:rPr>
                <w:b/>
                <w:sz w:val="20"/>
              </w:rPr>
              <w:t>,</w:t>
            </w:r>
            <w:r w:rsidR="000B3775" w:rsidRPr="00790CC5">
              <w:rPr>
                <w:b/>
                <w:sz w:val="20"/>
              </w:rPr>
              <w:t xml:space="preserve"> </w:t>
            </w:r>
            <w:r w:rsidR="000B3775">
              <w:rPr>
                <w:b/>
                <w:sz w:val="20"/>
              </w:rPr>
              <w:t>for example i</w:t>
            </w:r>
            <w:r w:rsidR="000B3775" w:rsidRPr="00790CC5">
              <w:rPr>
                <w:b/>
                <w:sz w:val="20"/>
              </w:rPr>
              <w:t>f they are performing at a stage one level, then there are two clusters per year expected; if they are performing at a stage two level then one cluster improvement per year is expected.</w:t>
            </w:r>
          </w:p>
          <w:p w:rsidR="00DA3CC1" w:rsidRPr="00C30BFE" w:rsidRDefault="00DA3CC1" w:rsidP="000D784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0D784D">
              <w:rPr>
                <w:color w:val="7030A0"/>
                <w:sz w:val="20"/>
                <w:szCs w:val="20"/>
              </w:rPr>
              <w:t xml:space="preserve">Improve student </w:t>
            </w:r>
            <w:r w:rsidR="00C30BFE" w:rsidRPr="000D784D">
              <w:rPr>
                <w:color w:val="7030A0"/>
                <w:sz w:val="20"/>
                <w:szCs w:val="20"/>
              </w:rPr>
              <w:t>achievement on stage based outcomes from 60% achieving “sound” or higher, in yearly reports in Spa</w:t>
            </w:r>
            <w:r w:rsidR="008528D5" w:rsidRPr="000D784D">
              <w:rPr>
                <w:color w:val="7030A0"/>
                <w:sz w:val="20"/>
                <w:szCs w:val="20"/>
              </w:rPr>
              <w:t>ce and Measurement in 2011 to 65</w:t>
            </w:r>
            <w:r w:rsidR="00C30BFE" w:rsidRPr="000D784D">
              <w:rPr>
                <w:color w:val="7030A0"/>
                <w:sz w:val="20"/>
                <w:szCs w:val="20"/>
              </w:rPr>
              <w:t>% in 2012</w:t>
            </w:r>
            <w:r w:rsidR="008528D5" w:rsidRPr="000D784D">
              <w:rPr>
                <w:color w:val="7030A0"/>
                <w:sz w:val="20"/>
                <w:szCs w:val="20"/>
              </w:rPr>
              <w:t xml:space="preserve"> and 70% by</w:t>
            </w:r>
            <w:r w:rsidR="00C30BFE" w:rsidRPr="000D784D">
              <w:rPr>
                <w:color w:val="7030A0"/>
                <w:sz w:val="20"/>
                <w:szCs w:val="20"/>
              </w:rPr>
              <w:t xml:space="preserve"> 2014 for all students Years 5-9.</w:t>
            </w:r>
          </w:p>
          <w:p w:rsidR="00FB666A" w:rsidRDefault="00FB666A" w:rsidP="00FB666A">
            <w:pPr>
              <w:pStyle w:val="ListParagraph"/>
              <w:ind w:left="176"/>
              <w:rPr>
                <w:color w:val="7030A0"/>
                <w:sz w:val="20"/>
                <w:szCs w:val="20"/>
              </w:rPr>
            </w:pPr>
          </w:p>
          <w:p w:rsidR="00FB666A" w:rsidRPr="00D91266" w:rsidRDefault="00FB666A" w:rsidP="00FB666A">
            <w:pPr>
              <w:widowControl w:val="0"/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</w:p>
        </w:tc>
        <w:tc>
          <w:tcPr>
            <w:tcW w:w="2554" w:type="dxa"/>
          </w:tcPr>
          <w:p w:rsidR="00D91266" w:rsidRDefault="00C30BFE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Staff workshops with Regional Curriculum Consultants addressing identified areas for improvement.</w:t>
            </w:r>
          </w:p>
          <w:p w:rsidR="00C30BFE" w:rsidRDefault="00C30BFE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Staff to attend Teaching &amp; Learning Forums on areas of need</w:t>
            </w:r>
          </w:p>
          <w:p w:rsidR="00AB1CBC" w:rsidRDefault="00AB1CBC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Deepen understanding of the Place Value Continuum</w:t>
            </w:r>
          </w:p>
          <w:p w:rsidR="00AB1CBC" w:rsidRDefault="00AB1CBC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Discussion at staff meetings about where students are on the Place Value Continuum</w:t>
            </w:r>
          </w:p>
          <w:p w:rsidR="00C30BFE" w:rsidRDefault="00C30BFE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Development of Professional Learning Plans that incorporate aspects covering student needs, school plan and individual teacher needs.</w:t>
            </w:r>
          </w:p>
          <w:p w:rsidR="005600AF" w:rsidRDefault="005600AF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Provide specialised n</w:t>
            </w:r>
            <w:r w:rsidR="00145654">
              <w:rPr>
                <w:color w:val="7030A0"/>
                <w:sz w:val="20"/>
                <w:szCs w:val="20"/>
              </w:rPr>
              <w:t>umeracy training for SLSO</w:t>
            </w:r>
            <w:r>
              <w:rPr>
                <w:color w:val="7030A0"/>
                <w:sz w:val="20"/>
                <w:szCs w:val="20"/>
              </w:rPr>
              <w:t>s to enable them to further assist students.</w:t>
            </w:r>
          </w:p>
          <w:p w:rsidR="00326FB5" w:rsidRDefault="00326FB5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The school to become involved in the Riverina Learning Strategy HOW2Learn, by 2014 to help students understand more about themselves as learners.</w:t>
            </w:r>
          </w:p>
          <w:p w:rsidR="000D784D" w:rsidRPr="006F4D7A" w:rsidRDefault="000D784D" w:rsidP="000D784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Teacher professional learning o</w:t>
            </w:r>
            <w:r w:rsidRPr="006F4D7A">
              <w:rPr>
                <w:color w:val="7030A0"/>
                <w:sz w:val="20"/>
                <w:szCs w:val="20"/>
              </w:rPr>
              <w:t>n using the new learning pre-apprenticeship material</w:t>
            </w:r>
            <w:r>
              <w:rPr>
                <w:color w:val="7030A0"/>
                <w:sz w:val="20"/>
                <w:szCs w:val="20"/>
              </w:rPr>
              <w:t>s</w:t>
            </w:r>
            <w:r w:rsidRPr="006F4D7A">
              <w:rPr>
                <w:color w:val="7030A0"/>
                <w:sz w:val="20"/>
                <w:szCs w:val="20"/>
              </w:rPr>
              <w:t xml:space="preserve"> </w:t>
            </w:r>
          </w:p>
          <w:p w:rsidR="000D784D" w:rsidRPr="006F4D7A" w:rsidRDefault="000D784D" w:rsidP="000D784D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6F4D7A">
              <w:rPr>
                <w:color w:val="7030A0"/>
                <w:sz w:val="20"/>
                <w:szCs w:val="20"/>
              </w:rPr>
              <w:t>Teacher professional lear</w:t>
            </w:r>
            <w:r w:rsidR="007D695F">
              <w:rPr>
                <w:color w:val="7030A0"/>
                <w:sz w:val="20"/>
                <w:szCs w:val="20"/>
              </w:rPr>
              <w:t>ning in the interactive Numeracy</w:t>
            </w:r>
            <w:r w:rsidRPr="006F4D7A">
              <w:rPr>
                <w:color w:val="7030A0"/>
                <w:sz w:val="20"/>
                <w:szCs w:val="20"/>
              </w:rPr>
              <w:t xml:space="preserve"> continuum K-10 and associated teaching and learning strategies.</w:t>
            </w:r>
          </w:p>
          <w:p w:rsidR="00145654" w:rsidRDefault="00145654" w:rsidP="00145654">
            <w:pPr>
              <w:rPr>
                <w:color w:val="7030A0"/>
                <w:sz w:val="20"/>
                <w:szCs w:val="20"/>
              </w:rPr>
            </w:pPr>
          </w:p>
          <w:p w:rsidR="00145654" w:rsidRDefault="00145654" w:rsidP="00145654">
            <w:pPr>
              <w:rPr>
                <w:color w:val="FF0000"/>
                <w:sz w:val="20"/>
                <w:szCs w:val="20"/>
              </w:rPr>
            </w:pPr>
          </w:p>
          <w:p w:rsidR="00145654" w:rsidRPr="00145654" w:rsidRDefault="00145654" w:rsidP="001456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D91266" w:rsidRPr="00C30BFE" w:rsidRDefault="00145654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Staff </w:t>
            </w:r>
            <w:r w:rsidR="002508FF">
              <w:rPr>
                <w:color w:val="7030A0"/>
                <w:sz w:val="20"/>
                <w:szCs w:val="20"/>
              </w:rPr>
              <w:t xml:space="preserve">to </w:t>
            </w:r>
            <w:r>
              <w:rPr>
                <w:color w:val="7030A0"/>
                <w:sz w:val="20"/>
                <w:szCs w:val="20"/>
              </w:rPr>
              <w:t>attend</w:t>
            </w:r>
            <w:r w:rsidR="00C30BFE">
              <w:rPr>
                <w:color w:val="7030A0"/>
                <w:sz w:val="20"/>
                <w:szCs w:val="20"/>
              </w:rPr>
              <w:t xml:space="preserve"> workshops with Regional Consultants.</w:t>
            </w:r>
          </w:p>
          <w:p w:rsidR="00C30BFE" w:rsidRPr="00E2710B" w:rsidRDefault="00145654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Staff </w:t>
            </w:r>
            <w:r w:rsidR="002508FF">
              <w:rPr>
                <w:color w:val="7030A0"/>
                <w:sz w:val="20"/>
                <w:szCs w:val="20"/>
              </w:rPr>
              <w:t xml:space="preserve">to </w:t>
            </w:r>
            <w:r>
              <w:rPr>
                <w:color w:val="7030A0"/>
                <w:sz w:val="20"/>
                <w:szCs w:val="20"/>
              </w:rPr>
              <w:t>attend</w:t>
            </w:r>
            <w:r w:rsidR="00E2710B">
              <w:rPr>
                <w:color w:val="7030A0"/>
                <w:sz w:val="20"/>
                <w:szCs w:val="20"/>
              </w:rPr>
              <w:t xml:space="preserve"> Teaching and Learning Forums.</w:t>
            </w:r>
          </w:p>
          <w:p w:rsidR="00E2710B" w:rsidRPr="00E2710B" w:rsidRDefault="00E2710B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Evidence in teachers’ programs of identified strategies being implemented successfully.</w:t>
            </w:r>
          </w:p>
          <w:p w:rsidR="00E2710B" w:rsidRPr="00326FB5" w:rsidRDefault="00E2710B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Professional Learning Plans developed based on student needs, school plan and individual teacher requirements.</w:t>
            </w:r>
          </w:p>
          <w:p w:rsidR="00326FB5" w:rsidRPr="000D784D" w:rsidRDefault="00326FB5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Staff using the terminology and learning aspects of HOW2Learn – resilience, resourcefulness, reflectiveness and reciprocity.</w:t>
            </w:r>
          </w:p>
          <w:p w:rsidR="000D784D" w:rsidRDefault="000D784D" w:rsidP="000D784D">
            <w:pPr>
              <w:pStyle w:val="ListParagraph"/>
              <w:numPr>
                <w:ilvl w:val="0"/>
                <w:numId w:val="1"/>
              </w:numPr>
              <w:rPr>
                <w:color w:val="7030A0"/>
                <w:sz w:val="20"/>
                <w:szCs w:val="20"/>
              </w:rPr>
            </w:pPr>
            <w:r w:rsidRPr="000D784D">
              <w:rPr>
                <w:color w:val="7030A0"/>
                <w:sz w:val="20"/>
                <w:szCs w:val="20"/>
              </w:rPr>
              <w:t xml:space="preserve">Staff have data walls of the </w:t>
            </w:r>
            <w:r>
              <w:rPr>
                <w:color w:val="7030A0"/>
                <w:sz w:val="20"/>
                <w:szCs w:val="20"/>
              </w:rPr>
              <w:t>numeracy</w:t>
            </w:r>
            <w:r w:rsidRPr="000D784D">
              <w:rPr>
                <w:color w:val="7030A0"/>
                <w:sz w:val="20"/>
                <w:szCs w:val="20"/>
              </w:rPr>
              <w:t xml:space="preserve"> continuum showing student </w:t>
            </w:r>
            <w:r>
              <w:rPr>
                <w:color w:val="7030A0"/>
                <w:sz w:val="20"/>
                <w:szCs w:val="20"/>
              </w:rPr>
              <w:t>progress</w:t>
            </w:r>
          </w:p>
          <w:p w:rsidR="007D695F" w:rsidRDefault="000D784D" w:rsidP="007D695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 w:rsidRPr="000D784D">
              <w:rPr>
                <w:color w:val="7030A0"/>
                <w:sz w:val="20"/>
                <w:szCs w:val="20"/>
              </w:rPr>
              <w:t>Staff  using the new learning pre-apprenticeship materials</w:t>
            </w:r>
            <w:r w:rsidR="007D695F">
              <w:rPr>
                <w:color w:val="7030A0"/>
                <w:sz w:val="20"/>
                <w:szCs w:val="20"/>
              </w:rPr>
              <w:t xml:space="preserve"> </w:t>
            </w:r>
          </w:p>
          <w:p w:rsidR="007D695F" w:rsidRPr="000D784D" w:rsidRDefault="007D695F" w:rsidP="007D695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Students IEP’s reflect targets pertaining to their individual levels that are 1 cluster above their entry levels into The </w:t>
            </w:r>
            <w:proofErr w:type="spellStart"/>
            <w:r>
              <w:rPr>
                <w:color w:val="7030A0"/>
                <w:sz w:val="20"/>
                <w:szCs w:val="20"/>
              </w:rPr>
              <w:t>Bidgee</w:t>
            </w:r>
            <w:proofErr w:type="spellEnd"/>
            <w:r>
              <w:rPr>
                <w:color w:val="7030A0"/>
                <w:sz w:val="20"/>
                <w:szCs w:val="20"/>
              </w:rPr>
              <w:t xml:space="preserve"> School for place value.</w:t>
            </w:r>
          </w:p>
          <w:p w:rsidR="007D695F" w:rsidRDefault="007D695F" w:rsidP="007D695F">
            <w:pPr>
              <w:rPr>
                <w:i/>
                <w:color w:val="7030A0"/>
                <w:sz w:val="20"/>
                <w:szCs w:val="20"/>
              </w:rPr>
            </w:pPr>
          </w:p>
          <w:p w:rsidR="000D784D" w:rsidRDefault="000D784D" w:rsidP="007D695F">
            <w:pPr>
              <w:pStyle w:val="ListParagraph"/>
              <w:ind w:left="360"/>
              <w:rPr>
                <w:color w:val="7030A0"/>
                <w:sz w:val="20"/>
                <w:szCs w:val="20"/>
              </w:rPr>
            </w:pPr>
          </w:p>
          <w:p w:rsidR="007D695F" w:rsidRPr="000D784D" w:rsidRDefault="007D695F" w:rsidP="007D695F">
            <w:pPr>
              <w:pStyle w:val="ListParagraph"/>
              <w:ind w:left="360"/>
              <w:rPr>
                <w:color w:val="7030A0"/>
                <w:sz w:val="20"/>
                <w:szCs w:val="20"/>
              </w:rPr>
            </w:pPr>
          </w:p>
        </w:tc>
        <w:tc>
          <w:tcPr>
            <w:tcW w:w="730" w:type="dxa"/>
          </w:tcPr>
          <w:p w:rsidR="00D91266" w:rsidRDefault="00C30BFE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Term 1</w:t>
            </w:r>
          </w:p>
          <w:p w:rsidR="00C30BFE" w:rsidRDefault="00C30BFE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All terms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Pr="00D91266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D91266" w:rsidRDefault="00F7119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X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Pr="00D91266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91266" w:rsidRDefault="00F7119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X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326FB5" w:rsidRDefault="00326FB5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Pr="00D91266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91266" w:rsidRDefault="0044464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Principal</w:t>
            </w:r>
          </w:p>
          <w:p w:rsidR="0044464F" w:rsidRDefault="0044464F" w:rsidP="00D91266">
            <w:pPr>
              <w:rPr>
                <w:color w:val="7030A0"/>
                <w:sz w:val="20"/>
                <w:szCs w:val="20"/>
              </w:rPr>
            </w:pPr>
          </w:p>
          <w:p w:rsidR="0044464F" w:rsidRPr="00D91266" w:rsidRDefault="0044464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AP</w:t>
            </w:r>
          </w:p>
        </w:tc>
        <w:tc>
          <w:tcPr>
            <w:tcW w:w="1984" w:type="dxa"/>
          </w:tcPr>
          <w:p w:rsidR="00D91266" w:rsidRDefault="00DF45D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NP Low SES Budget</w:t>
            </w:r>
          </w:p>
          <w:p w:rsidR="00DF45D4" w:rsidRPr="00D91266" w:rsidRDefault="00DF45D4" w:rsidP="00656BB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$</w:t>
            </w:r>
            <w:r w:rsidR="00656BB3">
              <w:rPr>
                <w:color w:val="7030A0"/>
                <w:sz w:val="20"/>
                <w:szCs w:val="20"/>
              </w:rPr>
              <w:t>7</w:t>
            </w:r>
            <w:r w:rsidR="005B3DDD">
              <w:rPr>
                <w:color w:val="7030A0"/>
                <w:sz w:val="20"/>
                <w:szCs w:val="20"/>
              </w:rPr>
              <w:t>6</w:t>
            </w:r>
            <w:r>
              <w:rPr>
                <w:color w:val="7030A0"/>
                <w:sz w:val="20"/>
                <w:szCs w:val="20"/>
              </w:rPr>
              <w:t>00.00</w:t>
            </w:r>
          </w:p>
        </w:tc>
      </w:tr>
      <w:tr w:rsidR="00D91266" w:rsidRPr="004C66FD" w:rsidTr="00D91266">
        <w:trPr>
          <w:trHeight w:val="2966"/>
        </w:trPr>
        <w:tc>
          <w:tcPr>
            <w:tcW w:w="1242" w:type="dxa"/>
          </w:tcPr>
          <w:p w:rsidR="00D91266" w:rsidRPr="00E43307" w:rsidRDefault="00E2177B" w:rsidP="00D91266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4,6</w:t>
            </w:r>
          </w:p>
        </w:tc>
        <w:tc>
          <w:tcPr>
            <w:tcW w:w="1814" w:type="dxa"/>
          </w:tcPr>
          <w:p w:rsidR="00D91266" w:rsidRDefault="00427A57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Decrease both </w:t>
            </w:r>
            <w:r w:rsidR="00D52426">
              <w:rPr>
                <w:color w:val="7030A0"/>
                <w:sz w:val="20"/>
                <w:szCs w:val="20"/>
              </w:rPr>
              <w:t>short and long term suspensions for all students including Aboriginal Students</w:t>
            </w:r>
          </w:p>
          <w:p w:rsidR="00387AD3" w:rsidRDefault="00387AD3" w:rsidP="00D91266">
            <w:pPr>
              <w:rPr>
                <w:color w:val="7030A0"/>
                <w:sz w:val="20"/>
                <w:szCs w:val="20"/>
              </w:rPr>
            </w:pPr>
          </w:p>
          <w:p w:rsidR="00C04C5E" w:rsidRDefault="00C04C5E" w:rsidP="00D91266">
            <w:pPr>
              <w:rPr>
                <w:color w:val="7030A0"/>
                <w:sz w:val="20"/>
                <w:szCs w:val="20"/>
              </w:rPr>
            </w:pPr>
          </w:p>
          <w:p w:rsidR="00145654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All aspects of the Aboriginal Education Policy are addressed.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Continual involvement with the Aboriginal community to support student outcomes.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3B107F" w:rsidRDefault="003B107F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School Aboriginal Education policy developed.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Pr="00D9126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Australian Curriculum implementation timeline developed.</w:t>
            </w:r>
          </w:p>
        </w:tc>
        <w:tc>
          <w:tcPr>
            <w:tcW w:w="1845" w:type="dxa"/>
          </w:tcPr>
          <w:p w:rsidR="00427A57" w:rsidRPr="00427A57" w:rsidRDefault="00427A57" w:rsidP="00427A57">
            <w:pPr>
              <w:pStyle w:val="ListParagraph"/>
              <w:ind w:left="176"/>
              <w:rPr>
                <w:i/>
                <w:color w:val="7030A0"/>
                <w:sz w:val="20"/>
                <w:szCs w:val="20"/>
              </w:rPr>
            </w:pPr>
            <w:r w:rsidRPr="00427A57">
              <w:rPr>
                <w:i/>
                <w:color w:val="7030A0"/>
                <w:sz w:val="20"/>
                <w:szCs w:val="20"/>
              </w:rPr>
              <w:t>Student Wellbeing</w:t>
            </w:r>
            <w:r w:rsidR="00491C37">
              <w:rPr>
                <w:i/>
                <w:color w:val="7030A0"/>
                <w:sz w:val="20"/>
                <w:szCs w:val="20"/>
              </w:rPr>
              <w:t>/Engagement</w:t>
            </w:r>
          </w:p>
          <w:p w:rsidR="00427A57" w:rsidRDefault="00427A57" w:rsidP="00427A57">
            <w:pPr>
              <w:pStyle w:val="ListParagraph"/>
              <w:ind w:left="176"/>
              <w:rPr>
                <w:color w:val="7030A0"/>
                <w:sz w:val="20"/>
                <w:szCs w:val="20"/>
              </w:rPr>
            </w:pPr>
          </w:p>
          <w:p w:rsidR="00D91266" w:rsidRDefault="00427A57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Reduce the total number of suspensions, short and long term, from 102 in 2011 to 99 in 2012, 97 in 2013 and 90 in 2014.</w:t>
            </w:r>
          </w:p>
          <w:p w:rsidR="00145654" w:rsidRDefault="00145654" w:rsidP="00145654">
            <w:pPr>
              <w:rPr>
                <w:color w:val="7030A0"/>
                <w:sz w:val="20"/>
                <w:szCs w:val="20"/>
              </w:rPr>
            </w:pPr>
          </w:p>
          <w:p w:rsidR="00145654" w:rsidRPr="00145654" w:rsidRDefault="00145654" w:rsidP="00145654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4" w:type="dxa"/>
          </w:tcPr>
          <w:p w:rsidR="00D91266" w:rsidRDefault="00894271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Develop more hands on, real life, practical learning </w:t>
            </w:r>
            <w:r w:rsidR="002F4194">
              <w:rPr>
                <w:color w:val="7030A0"/>
                <w:sz w:val="20"/>
                <w:szCs w:val="20"/>
              </w:rPr>
              <w:t>experiences.</w:t>
            </w:r>
          </w:p>
          <w:p w:rsidR="002F4194" w:rsidRDefault="002F4194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Employ teacher to develop and manage this innovative teaching program.</w:t>
            </w:r>
          </w:p>
          <w:p w:rsidR="008B2E9B" w:rsidRDefault="008B2E9B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Increase and further formalise social skills lessons</w:t>
            </w:r>
            <w:r w:rsidR="00D67B04">
              <w:rPr>
                <w:color w:val="7030A0"/>
                <w:sz w:val="20"/>
                <w:szCs w:val="20"/>
              </w:rPr>
              <w:t xml:space="preserve"> (program),</w:t>
            </w:r>
            <w:r>
              <w:rPr>
                <w:color w:val="7030A0"/>
                <w:sz w:val="20"/>
                <w:szCs w:val="20"/>
              </w:rPr>
              <w:t xml:space="preserve"> to encourage student use of appropriate strategies to avoid suspensions.</w:t>
            </w:r>
            <w:r w:rsidR="00145654">
              <w:rPr>
                <w:color w:val="7030A0"/>
                <w:sz w:val="20"/>
                <w:szCs w:val="20"/>
              </w:rPr>
              <w:t xml:space="preserve"> </w:t>
            </w:r>
          </w:p>
          <w:p w:rsidR="00D52426" w:rsidRDefault="00D52426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Ensure all Aboriginal students have a Personalised Learning Plan which is developed with parents and/or caregivers</w:t>
            </w:r>
            <w:r w:rsidR="00904A52">
              <w:rPr>
                <w:color w:val="7030A0"/>
                <w:sz w:val="20"/>
                <w:szCs w:val="20"/>
              </w:rPr>
              <w:t xml:space="preserve"> and are updated at least once a term.</w:t>
            </w:r>
          </w:p>
          <w:p w:rsidR="00D67B04" w:rsidRDefault="00A751C7" w:rsidP="00D9126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</w:t>
            </w:r>
            <w:r w:rsidR="005B3DDD">
              <w:rPr>
                <w:color w:val="7030A0"/>
                <w:sz w:val="20"/>
                <w:szCs w:val="20"/>
              </w:rPr>
              <w:t>araprofessional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="005B3DDD">
              <w:rPr>
                <w:color w:val="7030A0"/>
                <w:sz w:val="20"/>
                <w:szCs w:val="20"/>
              </w:rPr>
              <w:t xml:space="preserve">with skills in ICT </w:t>
            </w:r>
            <w:r w:rsidR="00D67B04">
              <w:rPr>
                <w:color w:val="7030A0"/>
                <w:sz w:val="20"/>
                <w:szCs w:val="20"/>
              </w:rPr>
              <w:t xml:space="preserve">to </w:t>
            </w:r>
            <w:r>
              <w:rPr>
                <w:color w:val="7030A0"/>
                <w:sz w:val="20"/>
                <w:szCs w:val="20"/>
              </w:rPr>
              <w:t xml:space="preserve">provide professional development to </w:t>
            </w:r>
            <w:r w:rsidR="00D67B04">
              <w:rPr>
                <w:color w:val="7030A0"/>
                <w:sz w:val="20"/>
                <w:szCs w:val="20"/>
              </w:rPr>
              <w:t xml:space="preserve">increase student/teacher skills and </w:t>
            </w:r>
            <w:r>
              <w:rPr>
                <w:color w:val="7030A0"/>
                <w:sz w:val="20"/>
                <w:szCs w:val="20"/>
              </w:rPr>
              <w:t xml:space="preserve">hence </w:t>
            </w:r>
            <w:r w:rsidR="00D67B04">
              <w:rPr>
                <w:color w:val="7030A0"/>
                <w:sz w:val="20"/>
                <w:szCs w:val="20"/>
              </w:rPr>
              <w:t>student engagement</w:t>
            </w:r>
            <w:r w:rsidR="005D0B96">
              <w:rPr>
                <w:color w:val="7030A0"/>
                <w:sz w:val="20"/>
                <w:szCs w:val="20"/>
              </w:rPr>
              <w:t>.</w:t>
            </w:r>
          </w:p>
          <w:p w:rsidR="00145654" w:rsidRDefault="005D0B96" w:rsidP="0027395A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Staff, at staff meetings, access and discuss the new Australian curriculum documents as they become </w:t>
            </w:r>
            <w:r w:rsidR="005B3DDD">
              <w:rPr>
                <w:color w:val="7030A0"/>
                <w:sz w:val="20"/>
                <w:szCs w:val="20"/>
              </w:rPr>
              <w:t>available with English being implemented by 2014.</w:t>
            </w:r>
          </w:p>
          <w:p w:rsidR="0027395A" w:rsidRPr="0027395A" w:rsidRDefault="0027395A" w:rsidP="0027395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122" w:type="dxa"/>
          </w:tcPr>
          <w:p w:rsidR="00D91266" w:rsidRPr="002F4194" w:rsidRDefault="002F4194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Increased s</w:t>
            </w:r>
            <w:r w:rsidR="00904A52">
              <w:rPr>
                <w:color w:val="7030A0"/>
                <w:sz w:val="20"/>
                <w:szCs w:val="20"/>
              </w:rPr>
              <w:t>tudent engagement in school programs.</w:t>
            </w:r>
          </w:p>
          <w:p w:rsidR="002F4194" w:rsidRPr="008B2E9B" w:rsidRDefault="002F4194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Increase/improvement in student attendance.</w:t>
            </w:r>
          </w:p>
          <w:p w:rsidR="008B2E9B" w:rsidRPr="00374C34" w:rsidRDefault="008B2E9B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Decrease in suspensions</w:t>
            </w:r>
            <w:r w:rsidR="00374C34">
              <w:rPr>
                <w:color w:val="7030A0"/>
                <w:sz w:val="20"/>
                <w:szCs w:val="20"/>
              </w:rPr>
              <w:t>.</w:t>
            </w:r>
          </w:p>
          <w:p w:rsidR="00374C34" w:rsidRPr="00904A52" w:rsidRDefault="00374C34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Students regularly using strategies to manage conflict and avoid suspensions.</w:t>
            </w:r>
          </w:p>
          <w:p w:rsidR="00904A52" w:rsidRPr="00904A52" w:rsidRDefault="00904A52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All Aboriginal students have a Personalised Learning Plan.</w:t>
            </w:r>
          </w:p>
          <w:p w:rsidR="00904A52" w:rsidRPr="005D0B96" w:rsidRDefault="00904A52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Parents and caregivers are involved in the development of PLP’s. </w:t>
            </w:r>
          </w:p>
          <w:p w:rsidR="005D0B96" w:rsidRPr="005D0B96" w:rsidRDefault="005D0B96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School Aboriginal Education policy reviewed and up to date.</w:t>
            </w:r>
          </w:p>
          <w:p w:rsidR="005D0B96" w:rsidRPr="004B3F3A" w:rsidRDefault="005D0B96" w:rsidP="00D91266">
            <w:pPr>
              <w:pStyle w:val="ListParagraph"/>
              <w:numPr>
                <w:ilvl w:val="0"/>
                <w:numId w:val="1"/>
              </w:numPr>
              <w:rPr>
                <w:i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Australian Curriculum timeline for implementation devised.</w:t>
            </w:r>
          </w:p>
          <w:p w:rsidR="004B3F3A" w:rsidRPr="00145654" w:rsidRDefault="004B3F3A" w:rsidP="004B3F3A">
            <w:pPr>
              <w:pStyle w:val="ListParagraph"/>
              <w:ind w:left="360"/>
              <w:rPr>
                <w:i/>
                <w:color w:val="7030A0"/>
                <w:sz w:val="20"/>
                <w:szCs w:val="20"/>
              </w:rPr>
            </w:pPr>
          </w:p>
          <w:p w:rsidR="00145654" w:rsidRDefault="00145654" w:rsidP="00145654">
            <w:pPr>
              <w:rPr>
                <w:i/>
                <w:color w:val="7030A0"/>
                <w:sz w:val="20"/>
                <w:szCs w:val="20"/>
              </w:rPr>
            </w:pPr>
          </w:p>
          <w:p w:rsidR="00145654" w:rsidRPr="00145654" w:rsidRDefault="00145654" w:rsidP="0014565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D91266" w:rsidRDefault="00374C3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Term 1</w:t>
            </w:r>
          </w:p>
          <w:p w:rsidR="00374C34" w:rsidRDefault="00374C3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All terms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D0B96" w:rsidRPr="00D91266" w:rsidRDefault="005D0B96" w:rsidP="00D9126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</w:tcPr>
          <w:p w:rsidR="00D91266" w:rsidRDefault="005B10D8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X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</w:p>
          <w:p w:rsidR="005B3DDD" w:rsidRDefault="005B3DDD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Pr="00D91266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91266" w:rsidRDefault="005B10D8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X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</w:p>
          <w:p w:rsidR="00AB1CBC" w:rsidRDefault="00AB1CBC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</w:t>
            </w:r>
          </w:p>
          <w:p w:rsidR="005D0B96" w:rsidRPr="00D91266" w:rsidRDefault="005D0B96" w:rsidP="00D91266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266" w:rsidRDefault="00374C3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Principal</w:t>
            </w:r>
          </w:p>
          <w:p w:rsidR="00374C34" w:rsidRDefault="00374C34" w:rsidP="00D91266">
            <w:pPr>
              <w:rPr>
                <w:color w:val="7030A0"/>
                <w:sz w:val="20"/>
                <w:szCs w:val="20"/>
              </w:rPr>
            </w:pPr>
          </w:p>
          <w:p w:rsidR="00374C34" w:rsidRDefault="00374C34" w:rsidP="00D91266">
            <w:pPr>
              <w:rPr>
                <w:color w:val="7030A0"/>
                <w:sz w:val="20"/>
                <w:szCs w:val="20"/>
              </w:rPr>
            </w:pPr>
          </w:p>
          <w:p w:rsidR="00374C34" w:rsidRDefault="00374C34" w:rsidP="00D91266">
            <w:pPr>
              <w:rPr>
                <w:color w:val="7030A0"/>
                <w:sz w:val="20"/>
                <w:szCs w:val="20"/>
              </w:rPr>
            </w:pPr>
          </w:p>
          <w:p w:rsidR="00374C34" w:rsidRDefault="00374C34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Teacher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Principal</w:t>
            </w: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Default="005D0B96" w:rsidP="00D91266">
            <w:pPr>
              <w:rPr>
                <w:color w:val="7030A0"/>
                <w:sz w:val="20"/>
                <w:szCs w:val="20"/>
              </w:rPr>
            </w:pPr>
          </w:p>
          <w:p w:rsidR="005D0B96" w:rsidRPr="00D91266" w:rsidRDefault="005D0B96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Principal</w:t>
            </w:r>
          </w:p>
        </w:tc>
        <w:tc>
          <w:tcPr>
            <w:tcW w:w="1984" w:type="dxa"/>
          </w:tcPr>
          <w:p w:rsidR="00D91266" w:rsidRDefault="00F7119F" w:rsidP="00D91266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NP Low SES Budget</w:t>
            </w:r>
          </w:p>
          <w:p w:rsidR="00656BB3" w:rsidRDefault="00656BB3" w:rsidP="00F911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$</w:t>
            </w:r>
            <w:r w:rsidR="00F911DB">
              <w:rPr>
                <w:color w:val="7030A0"/>
                <w:sz w:val="20"/>
                <w:szCs w:val="20"/>
              </w:rPr>
              <w:t>20,000.00</w:t>
            </w: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NP Low SES Budget</w:t>
            </w:r>
          </w:p>
          <w:p w:rsidR="00F911DB" w:rsidRDefault="00F911DB" w:rsidP="00F911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$9194.00</w:t>
            </w:r>
          </w:p>
          <w:p w:rsidR="007B016B" w:rsidRDefault="007B016B" w:rsidP="00F911DB">
            <w:pPr>
              <w:rPr>
                <w:color w:val="7030A0"/>
                <w:sz w:val="20"/>
                <w:szCs w:val="20"/>
              </w:rPr>
            </w:pPr>
          </w:p>
          <w:p w:rsidR="00E017B1" w:rsidRDefault="00E017B1" w:rsidP="00F911DB">
            <w:pPr>
              <w:rPr>
                <w:color w:val="7030A0"/>
                <w:sz w:val="20"/>
                <w:szCs w:val="20"/>
              </w:rPr>
            </w:pPr>
          </w:p>
          <w:p w:rsidR="00415760" w:rsidRDefault="00415760" w:rsidP="00F911DB">
            <w:pPr>
              <w:rPr>
                <w:color w:val="7030A0"/>
                <w:sz w:val="20"/>
                <w:szCs w:val="20"/>
              </w:rPr>
            </w:pPr>
          </w:p>
          <w:p w:rsidR="00F911DB" w:rsidRPr="00D91266" w:rsidRDefault="00F911DB" w:rsidP="00F911DB">
            <w:pPr>
              <w:rPr>
                <w:color w:val="7030A0"/>
                <w:sz w:val="20"/>
                <w:szCs w:val="20"/>
              </w:rPr>
            </w:pPr>
          </w:p>
        </w:tc>
      </w:tr>
    </w:tbl>
    <w:p w:rsidR="00276942" w:rsidRDefault="00276942"/>
    <w:p w:rsidR="00276942" w:rsidRDefault="00276942"/>
    <w:p w:rsidR="00276942" w:rsidRDefault="00276942"/>
    <w:sectPr w:rsidR="00276942" w:rsidSect="00C867C5">
      <w:headerReference w:type="default" r:id="rId8"/>
      <w:pgSz w:w="16838" w:h="11906" w:orient="landscape"/>
      <w:pgMar w:top="426" w:right="820" w:bottom="568" w:left="567" w:header="20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C7" w:rsidRDefault="00FE2FC7" w:rsidP="006F0112">
      <w:pPr>
        <w:spacing w:after="0" w:line="240" w:lineRule="auto"/>
      </w:pPr>
      <w:r>
        <w:separator/>
      </w:r>
    </w:p>
  </w:endnote>
  <w:endnote w:type="continuationSeparator" w:id="0">
    <w:p w:rsidR="00FE2FC7" w:rsidRDefault="00FE2FC7" w:rsidP="006F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C7" w:rsidRDefault="00FE2FC7" w:rsidP="006F0112">
      <w:pPr>
        <w:spacing w:after="0" w:line="240" w:lineRule="auto"/>
      </w:pPr>
      <w:r>
        <w:separator/>
      </w:r>
    </w:p>
  </w:footnote>
  <w:footnote w:type="continuationSeparator" w:id="0">
    <w:p w:rsidR="00FE2FC7" w:rsidRDefault="00FE2FC7" w:rsidP="006F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horzAnchor="margin" w:tblpY="675"/>
      <w:tblW w:w="15984" w:type="dxa"/>
      <w:tblLayout w:type="fixed"/>
      <w:tblLook w:val="04A0"/>
    </w:tblPr>
    <w:tblGrid>
      <w:gridCol w:w="1242"/>
      <w:gridCol w:w="1814"/>
      <w:gridCol w:w="1845"/>
      <w:gridCol w:w="2554"/>
      <w:gridCol w:w="3122"/>
      <w:gridCol w:w="730"/>
      <w:gridCol w:w="708"/>
      <w:gridCol w:w="709"/>
      <w:gridCol w:w="1276"/>
      <w:gridCol w:w="1984"/>
    </w:tblGrid>
    <w:tr w:rsidR="00D91266" w:rsidRPr="004C66FD" w:rsidTr="00D91266">
      <w:trPr>
        <w:cantSplit/>
        <w:trHeight w:val="869"/>
        <w:tblHeader/>
      </w:trPr>
      <w:tc>
        <w:tcPr>
          <w:tcW w:w="1242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Reform</w:t>
          </w:r>
        </w:p>
      </w:tc>
      <w:tc>
        <w:tcPr>
          <w:tcW w:w="1814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Outcome</w:t>
          </w:r>
        </w:p>
      </w:tc>
      <w:tc>
        <w:tcPr>
          <w:tcW w:w="1845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Target</w:t>
          </w:r>
        </w:p>
      </w:tc>
      <w:tc>
        <w:tcPr>
          <w:tcW w:w="2554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Strategies</w:t>
          </w:r>
        </w:p>
      </w:tc>
      <w:tc>
        <w:tcPr>
          <w:tcW w:w="3122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Indicators</w:t>
          </w:r>
          <w:r w:rsidRPr="00D91266">
            <w:rPr>
              <w:sz w:val="18"/>
              <w:szCs w:val="18"/>
            </w:rPr>
            <w:ptab w:relativeTo="margin" w:alignment="center" w:leader="none"/>
          </w:r>
        </w:p>
      </w:tc>
      <w:tc>
        <w:tcPr>
          <w:tcW w:w="2147" w:type="dxa"/>
          <w:gridSpan w:val="3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Timeframe</w:t>
          </w:r>
        </w:p>
      </w:tc>
      <w:tc>
        <w:tcPr>
          <w:tcW w:w="1276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Responsibility</w:t>
          </w:r>
        </w:p>
      </w:tc>
      <w:tc>
        <w:tcPr>
          <w:tcW w:w="1984" w:type="dxa"/>
          <w:shd w:val="clear" w:color="auto" w:fill="C6D9F1" w:themeFill="text2" w:themeFillTint="33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Funding Source / Budget</w:t>
          </w:r>
        </w:p>
      </w:tc>
    </w:tr>
    <w:tr w:rsidR="00D91266" w:rsidRPr="004C66FD" w:rsidTr="00D91266">
      <w:trPr>
        <w:cantSplit/>
        <w:trHeight w:val="278"/>
        <w:tblHeader/>
      </w:trPr>
      <w:tc>
        <w:tcPr>
          <w:tcW w:w="10577" w:type="dxa"/>
          <w:gridSpan w:val="5"/>
          <w:shd w:val="clear" w:color="auto" w:fill="DBE5F1" w:themeFill="accent1" w:themeFillTint="33"/>
        </w:tcPr>
        <w:p w:rsidR="00D91266" w:rsidRPr="004C66FD" w:rsidRDefault="00D91266" w:rsidP="00D91266">
          <w:pPr>
            <w:rPr>
              <w:sz w:val="24"/>
            </w:rPr>
          </w:pPr>
        </w:p>
      </w:tc>
      <w:tc>
        <w:tcPr>
          <w:tcW w:w="730" w:type="dxa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2012</w:t>
          </w:r>
        </w:p>
      </w:tc>
      <w:tc>
        <w:tcPr>
          <w:tcW w:w="708" w:type="dxa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2013</w:t>
          </w:r>
        </w:p>
      </w:tc>
      <w:tc>
        <w:tcPr>
          <w:tcW w:w="709" w:type="dxa"/>
          <w:vAlign w:val="center"/>
        </w:tcPr>
        <w:p w:rsidR="00D91266" w:rsidRPr="00D91266" w:rsidRDefault="00D91266" w:rsidP="00D91266">
          <w:pPr>
            <w:jc w:val="center"/>
            <w:rPr>
              <w:sz w:val="18"/>
              <w:szCs w:val="18"/>
            </w:rPr>
          </w:pPr>
          <w:r w:rsidRPr="00D91266">
            <w:rPr>
              <w:sz w:val="18"/>
              <w:szCs w:val="18"/>
            </w:rPr>
            <w:t>2014</w:t>
          </w:r>
        </w:p>
      </w:tc>
      <w:tc>
        <w:tcPr>
          <w:tcW w:w="3260" w:type="dxa"/>
          <w:gridSpan w:val="2"/>
          <w:shd w:val="clear" w:color="auto" w:fill="DBE5F1" w:themeFill="accent1" w:themeFillTint="33"/>
        </w:tcPr>
        <w:p w:rsidR="00D91266" w:rsidRPr="004C66FD" w:rsidRDefault="00D91266" w:rsidP="00D91266">
          <w:pPr>
            <w:rPr>
              <w:sz w:val="24"/>
            </w:rPr>
          </w:pPr>
        </w:p>
      </w:tc>
    </w:tr>
  </w:tbl>
  <w:p w:rsidR="00276942" w:rsidRDefault="00276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B3"/>
    <w:multiLevelType w:val="hybridMultilevel"/>
    <w:tmpl w:val="7786C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17782"/>
    <w:multiLevelType w:val="hybridMultilevel"/>
    <w:tmpl w:val="5EC62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A025C"/>
    <w:multiLevelType w:val="hybridMultilevel"/>
    <w:tmpl w:val="50A89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222CC"/>
    <w:multiLevelType w:val="hybridMultilevel"/>
    <w:tmpl w:val="46885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B1738"/>
    <w:multiLevelType w:val="hybridMultilevel"/>
    <w:tmpl w:val="527CE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90081"/>
    <w:multiLevelType w:val="hybridMultilevel"/>
    <w:tmpl w:val="47E23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917C5"/>
    <w:multiLevelType w:val="hybridMultilevel"/>
    <w:tmpl w:val="5D1A2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26CDF"/>
    <w:multiLevelType w:val="hybridMultilevel"/>
    <w:tmpl w:val="9F447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12693"/>
    <w:multiLevelType w:val="hybridMultilevel"/>
    <w:tmpl w:val="F6FE0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F30DD2"/>
    <w:multiLevelType w:val="hybridMultilevel"/>
    <w:tmpl w:val="3C9EC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EE5"/>
    <w:multiLevelType w:val="hybridMultilevel"/>
    <w:tmpl w:val="869A4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112"/>
    <w:rsid w:val="0001159B"/>
    <w:rsid w:val="00023D22"/>
    <w:rsid w:val="00036352"/>
    <w:rsid w:val="0007637F"/>
    <w:rsid w:val="0009532B"/>
    <w:rsid w:val="000B3775"/>
    <w:rsid w:val="000D784D"/>
    <w:rsid w:val="000F1FFF"/>
    <w:rsid w:val="001053F3"/>
    <w:rsid w:val="001400E7"/>
    <w:rsid w:val="00141199"/>
    <w:rsid w:val="0014128C"/>
    <w:rsid w:val="00145654"/>
    <w:rsid w:val="00155C6F"/>
    <w:rsid w:val="00161EB1"/>
    <w:rsid w:val="00180342"/>
    <w:rsid w:val="001A55CE"/>
    <w:rsid w:val="001D4E19"/>
    <w:rsid w:val="001E0F36"/>
    <w:rsid w:val="002508FF"/>
    <w:rsid w:val="0027395A"/>
    <w:rsid w:val="00276942"/>
    <w:rsid w:val="00294DA6"/>
    <w:rsid w:val="002A003C"/>
    <w:rsid w:val="002A50BD"/>
    <w:rsid w:val="002E3127"/>
    <w:rsid w:val="002F0F8D"/>
    <w:rsid w:val="002F4194"/>
    <w:rsid w:val="002F4276"/>
    <w:rsid w:val="002F5B6A"/>
    <w:rsid w:val="00310917"/>
    <w:rsid w:val="00323498"/>
    <w:rsid w:val="00326FB5"/>
    <w:rsid w:val="0033267D"/>
    <w:rsid w:val="00336C02"/>
    <w:rsid w:val="003371FF"/>
    <w:rsid w:val="0034370D"/>
    <w:rsid w:val="003517D7"/>
    <w:rsid w:val="0035258B"/>
    <w:rsid w:val="0036105E"/>
    <w:rsid w:val="003621FB"/>
    <w:rsid w:val="00374C34"/>
    <w:rsid w:val="00385B6F"/>
    <w:rsid w:val="00387AD3"/>
    <w:rsid w:val="0039048C"/>
    <w:rsid w:val="003B107F"/>
    <w:rsid w:val="003D7C86"/>
    <w:rsid w:val="003F5235"/>
    <w:rsid w:val="00415760"/>
    <w:rsid w:val="004224DF"/>
    <w:rsid w:val="00427A57"/>
    <w:rsid w:val="00433430"/>
    <w:rsid w:val="00440EAE"/>
    <w:rsid w:val="0044464F"/>
    <w:rsid w:val="004456FB"/>
    <w:rsid w:val="0046757C"/>
    <w:rsid w:val="00470026"/>
    <w:rsid w:val="00491C37"/>
    <w:rsid w:val="004B3F3A"/>
    <w:rsid w:val="004F0A74"/>
    <w:rsid w:val="004F69E2"/>
    <w:rsid w:val="005011B3"/>
    <w:rsid w:val="00524BD6"/>
    <w:rsid w:val="00544DFF"/>
    <w:rsid w:val="00551BE8"/>
    <w:rsid w:val="005600AF"/>
    <w:rsid w:val="0056492D"/>
    <w:rsid w:val="00582683"/>
    <w:rsid w:val="00587E1C"/>
    <w:rsid w:val="00587E5E"/>
    <w:rsid w:val="00590006"/>
    <w:rsid w:val="005B10D8"/>
    <w:rsid w:val="005B3DDD"/>
    <w:rsid w:val="005C2175"/>
    <w:rsid w:val="005C5A31"/>
    <w:rsid w:val="005D0B96"/>
    <w:rsid w:val="005D36F7"/>
    <w:rsid w:val="005D695F"/>
    <w:rsid w:val="005E3F28"/>
    <w:rsid w:val="006045DC"/>
    <w:rsid w:val="00607C08"/>
    <w:rsid w:val="00612118"/>
    <w:rsid w:val="006163BE"/>
    <w:rsid w:val="00630087"/>
    <w:rsid w:val="00640865"/>
    <w:rsid w:val="00656BB3"/>
    <w:rsid w:val="00665A8D"/>
    <w:rsid w:val="0069619D"/>
    <w:rsid w:val="006C645E"/>
    <w:rsid w:val="006E5B09"/>
    <w:rsid w:val="006F0112"/>
    <w:rsid w:val="006F4D7A"/>
    <w:rsid w:val="006F61C6"/>
    <w:rsid w:val="006F63CF"/>
    <w:rsid w:val="00710FD3"/>
    <w:rsid w:val="00724FC6"/>
    <w:rsid w:val="00731107"/>
    <w:rsid w:val="007323A6"/>
    <w:rsid w:val="007400EF"/>
    <w:rsid w:val="007659FE"/>
    <w:rsid w:val="007670F0"/>
    <w:rsid w:val="00792B38"/>
    <w:rsid w:val="0079770C"/>
    <w:rsid w:val="007A3EA9"/>
    <w:rsid w:val="007B016B"/>
    <w:rsid w:val="007B2F94"/>
    <w:rsid w:val="007C10D5"/>
    <w:rsid w:val="007C3628"/>
    <w:rsid w:val="007D60EA"/>
    <w:rsid w:val="007D6200"/>
    <w:rsid w:val="007D695F"/>
    <w:rsid w:val="007D6BC3"/>
    <w:rsid w:val="007F0072"/>
    <w:rsid w:val="007F31C8"/>
    <w:rsid w:val="007F7928"/>
    <w:rsid w:val="00816C76"/>
    <w:rsid w:val="00824592"/>
    <w:rsid w:val="00842921"/>
    <w:rsid w:val="00851708"/>
    <w:rsid w:val="008528D5"/>
    <w:rsid w:val="00855470"/>
    <w:rsid w:val="008574B6"/>
    <w:rsid w:val="008653A0"/>
    <w:rsid w:val="008667CF"/>
    <w:rsid w:val="008853AA"/>
    <w:rsid w:val="00894271"/>
    <w:rsid w:val="008B2E9B"/>
    <w:rsid w:val="008C2385"/>
    <w:rsid w:val="008E2D7C"/>
    <w:rsid w:val="008E4F90"/>
    <w:rsid w:val="00904A52"/>
    <w:rsid w:val="00921234"/>
    <w:rsid w:val="009475B9"/>
    <w:rsid w:val="00971FB3"/>
    <w:rsid w:val="009A00B1"/>
    <w:rsid w:val="009A350A"/>
    <w:rsid w:val="009B02AE"/>
    <w:rsid w:val="009B17EE"/>
    <w:rsid w:val="009B3B62"/>
    <w:rsid w:val="009C371B"/>
    <w:rsid w:val="009C53DA"/>
    <w:rsid w:val="00A03C4F"/>
    <w:rsid w:val="00A4408B"/>
    <w:rsid w:val="00A60864"/>
    <w:rsid w:val="00A63F99"/>
    <w:rsid w:val="00A751C7"/>
    <w:rsid w:val="00AB1CBC"/>
    <w:rsid w:val="00AC039A"/>
    <w:rsid w:val="00AC55C1"/>
    <w:rsid w:val="00AD45DE"/>
    <w:rsid w:val="00AE39C4"/>
    <w:rsid w:val="00B10DF1"/>
    <w:rsid w:val="00B268D5"/>
    <w:rsid w:val="00B30C64"/>
    <w:rsid w:val="00B430CC"/>
    <w:rsid w:val="00B44DC0"/>
    <w:rsid w:val="00B55555"/>
    <w:rsid w:val="00B71444"/>
    <w:rsid w:val="00B73777"/>
    <w:rsid w:val="00B73879"/>
    <w:rsid w:val="00B745C3"/>
    <w:rsid w:val="00B747C5"/>
    <w:rsid w:val="00B81237"/>
    <w:rsid w:val="00B83F35"/>
    <w:rsid w:val="00B86ABA"/>
    <w:rsid w:val="00B93E00"/>
    <w:rsid w:val="00BD114D"/>
    <w:rsid w:val="00BE2DAC"/>
    <w:rsid w:val="00BE4C94"/>
    <w:rsid w:val="00BF1FC5"/>
    <w:rsid w:val="00C04C5E"/>
    <w:rsid w:val="00C30BFE"/>
    <w:rsid w:val="00C627BC"/>
    <w:rsid w:val="00C70DA9"/>
    <w:rsid w:val="00C867C5"/>
    <w:rsid w:val="00C86C59"/>
    <w:rsid w:val="00C96F4A"/>
    <w:rsid w:val="00CA31F3"/>
    <w:rsid w:val="00CA3D42"/>
    <w:rsid w:val="00CC7EF9"/>
    <w:rsid w:val="00D0684E"/>
    <w:rsid w:val="00D134EC"/>
    <w:rsid w:val="00D52426"/>
    <w:rsid w:val="00D556DE"/>
    <w:rsid w:val="00D67B04"/>
    <w:rsid w:val="00D777B5"/>
    <w:rsid w:val="00D91266"/>
    <w:rsid w:val="00DA3CC1"/>
    <w:rsid w:val="00DA5DA6"/>
    <w:rsid w:val="00DC6FB8"/>
    <w:rsid w:val="00DF17D0"/>
    <w:rsid w:val="00DF45D4"/>
    <w:rsid w:val="00E005C6"/>
    <w:rsid w:val="00E017B1"/>
    <w:rsid w:val="00E10893"/>
    <w:rsid w:val="00E2177B"/>
    <w:rsid w:val="00E2710B"/>
    <w:rsid w:val="00E43307"/>
    <w:rsid w:val="00E44F45"/>
    <w:rsid w:val="00E511B5"/>
    <w:rsid w:val="00E57AA2"/>
    <w:rsid w:val="00E905C8"/>
    <w:rsid w:val="00E90AA8"/>
    <w:rsid w:val="00EC2CC1"/>
    <w:rsid w:val="00ED72D5"/>
    <w:rsid w:val="00ED7B4B"/>
    <w:rsid w:val="00EE3B0A"/>
    <w:rsid w:val="00EE60C5"/>
    <w:rsid w:val="00EE6576"/>
    <w:rsid w:val="00F006E4"/>
    <w:rsid w:val="00F16F32"/>
    <w:rsid w:val="00F31C39"/>
    <w:rsid w:val="00F3406F"/>
    <w:rsid w:val="00F362D0"/>
    <w:rsid w:val="00F458BC"/>
    <w:rsid w:val="00F56AFB"/>
    <w:rsid w:val="00F7119F"/>
    <w:rsid w:val="00F72B13"/>
    <w:rsid w:val="00F911DB"/>
    <w:rsid w:val="00FA6E98"/>
    <w:rsid w:val="00FB666A"/>
    <w:rsid w:val="00FD3D77"/>
    <w:rsid w:val="00FE2FC7"/>
    <w:rsid w:val="00FE6307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12"/>
  </w:style>
  <w:style w:type="paragraph" w:styleId="Footer">
    <w:name w:val="footer"/>
    <w:basedOn w:val="Normal"/>
    <w:link w:val="FooterChar"/>
    <w:uiPriority w:val="99"/>
    <w:unhideWhenUsed/>
    <w:rsid w:val="006F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12"/>
  </w:style>
  <w:style w:type="paragraph" w:styleId="ListParagraph">
    <w:name w:val="List Paragraph"/>
    <w:basedOn w:val="Normal"/>
    <w:uiPriority w:val="34"/>
    <w:qFormat/>
    <w:rsid w:val="00276942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customStyle="1" w:styleId="Default">
    <w:name w:val="Default"/>
    <w:rsid w:val="00587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RBodyText">
    <w:name w:val="RR Body Text"/>
    <w:basedOn w:val="Normal"/>
    <w:rsid w:val="008E2D7C"/>
    <w:pPr>
      <w:spacing w:before="120" w:after="0" w:line="240" w:lineRule="atLeast"/>
      <w:jc w:val="both"/>
    </w:pPr>
    <w:rPr>
      <w:rFonts w:ascii="Arial" w:eastAsia="Times New Roman" w:hAnsi="Arial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brussell12</dc:creator>
  <cp:keywords/>
  <dc:description/>
  <cp:lastModifiedBy>sclifford</cp:lastModifiedBy>
  <cp:revision>3</cp:revision>
  <cp:lastPrinted>2011-10-12T00:05:00Z</cp:lastPrinted>
  <dcterms:created xsi:type="dcterms:W3CDTF">2012-11-21T22:21:00Z</dcterms:created>
  <dcterms:modified xsi:type="dcterms:W3CDTF">2012-11-26T07:38:00Z</dcterms:modified>
</cp:coreProperties>
</file>